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86838" w14:textId="762E367F" w:rsidR="00640373" w:rsidRPr="00E36A23" w:rsidRDefault="00640373" w:rsidP="00F42087">
      <w:pPr>
        <w:spacing w:before="100" w:beforeAutospacing="1" w:after="100" w:afterAutospacing="1" w:line="360" w:lineRule="auto"/>
        <w:jc w:val="both"/>
        <w:rPr>
          <w:rFonts w:ascii="Arial" w:eastAsia="Times New Roman" w:hAnsi="Arial" w:cs="Arial"/>
          <w:sz w:val="24"/>
          <w:szCs w:val="24"/>
        </w:rPr>
      </w:pPr>
      <w:r w:rsidRPr="00E36A23">
        <w:rPr>
          <w:rFonts w:ascii="Arial" w:eastAsia="Times New Roman" w:hAnsi="Arial" w:cs="Arial"/>
          <w:b/>
          <w:bCs/>
          <w:sz w:val="24"/>
          <w:szCs w:val="24"/>
        </w:rPr>
        <w:t>Assunto:</w:t>
      </w:r>
      <w:r w:rsidRPr="00E36A23">
        <w:rPr>
          <w:rFonts w:ascii="Arial" w:eastAsia="Times New Roman" w:hAnsi="Arial" w:cs="Arial"/>
          <w:sz w:val="24"/>
          <w:szCs w:val="24"/>
        </w:rPr>
        <w:t xml:space="preserve"> Análise da </w:t>
      </w:r>
      <w:r w:rsidR="00F71214" w:rsidRPr="00E36A23">
        <w:rPr>
          <w:rFonts w:ascii="Arial" w:eastAsia="Times New Roman" w:hAnsi="Arial" w:cs="Arial"/>
          <w:sz w:val="24"/>
          <w:szCs w:val="24"/>
        </w:rPr>
        <w:t>e</w:t>
      </w:r>
      <w:r w:rsidRPr="00E36A23">
        <w:rPr>
          <w:rFonts w:ascii="Arial" w:eastAsia="Times New Roman" w:hAnsi="Arial" w:cs="Arial"/>
          <w:sz w:val="24"/>
          <w:szCs w:val="24"/>
        </w:rPr>
        <w:t xml:space="preserve">xequibilidade da </w:t>
      </w:r>
      <w:r w:rsidR="00F71214" w:rsidRPr="00E36A23">
        <w:rPr>
          <w:rFonts w:ascii="Arial" w:eastAsia="Times New Roman" w:hAnsi="Arial" w:cs="Arial"/>
          <w:sz w:val="24"/>
          <w:szCs w:val="24"/>
        </w:rPr>
        <w:t>p</w:t>
      </w:r>
      <w:r w:rsidRPr="00E36A23">
        <w:rPr>
          <w:rFonts w:ascii="Arial" w:eastAsia="Times New Roman" w:hAnsi="Arial" w:cs="Arial"/>
          <w:sz w:val="24"/>
          <w:szCs w:val="24"/>
        </w:rPr>
        <w:t>roposta</w:t>
      </w:r>
      <w:r w:rsidR="00DA7AFE">
        <w:rPr>
          <w:rFonts w:ascii="Arial" w:eastAsia="Times New Roman" w:hAnsi="Arial" w:cs="Arial"/>
          <w:sz w:val="24"/>
          <w:szCs w:val="24"/>
        </w:rPr>
        <w:t xml:space="preserve"> da licitante S. </w:t>
      </w:r>
      <w:proofErr w:type="spellStart"/>
      <w:r w:rsidR="00DA7AFE">
        <w:rPr>
          <w:rFonts w:ascii="Arial" w:eastAsia="Times New Roman" w:hAnsi="Arial" w:cs="Arial"/>
          <w:sz w:val="24"/>
          <w:szCs w:val="24"/>
        </w:rPr>
        <w:t>Nolli</w:t>
      </w:r>
      <w:proofErr w:type="spellEnd"/>
      <w:r w:rsidR="00DA7AFE">
        <w:rPr>
          <w:rFonts w:ascii="Arial" w:eastAsia="Times New Roman" w:hAnsi="Arial" w:cs="Arial"/>
          <w:sz w:val="24"/>
          <w:szCs w:val="24"/>
        </w:rPr>
        <w:t xml:space="preserve"> Comércio e Serviços Ltda., CNPJ n° 03.566.923/0001-01,</w:t>
      </w:r>
      <w:r w:rsidRPr="00E36A23">
        <w:rPr>
          <w:rFonts w:ascii="Arial" w:eastAsia="Times New Roman" w:hAnsi="Arial" w:cs="Arial"/>
          <w:sz w:val="24"/>
          <w:szCs w:val="24"/>
        </w:rPr>
        <w:t xml:space="preserve"> na </w:t>
      </w:r>
      <w:r w:rsidR="00F71214" w:rsidRPr="00E36A23">
        <w:rPr>
          <w:rFonts w:ascii="Arial" w:eastAsia="Times New Roman" w:hAnsi="Arial" w:cs="Arial"/>
          <w:sz w:val="24"/>
          <w:szCs w:val="24"/>
        </w:rPr>
        <w:t>l</w:t>
      </w:r>
      <w:r w:rsidRPr="00E36A23">
        <w:rPr>
          <w:rFonts w:ascii="Arial" w:eastAsia="Times New Roman" w:hAnsi="Arial" w:cs="Arial"/>
          <w:sz w:val="24"/>
          <w:szCs w:val="24"/>
        </w:rPr>
        <w:t>icitação para</w:t>
      </w:r>
      <w:r w:rsidR="00F71214" w:rsidRPr="00E36A23">
        <w:rPr>
          <w:rFonts w:ascii="Arial" w:eastAsia="Times New Roman" w:hAnsi="Arial" w:cs="Arial"/>
          <w:sz w:val="24"/>
          <w:szCs w:val="24"/>
        </w:rPr>
        <w:t xml:space="preserve"> contratação dos serviços de manutenção preventiva e corretiva de grupos motores geradores</w:t>
      </w:r>
      <w:r w:rsidR="00E8161C" w:rsidRPr="00E36A23">
        <w:rPr>
          <w:rFonts w:ascii="Arial" w:eastAsia="Times New Roman" w:hAnsi="Arial" w:cs="Arial"/>
          <w:sz w:val="24"/>
          <w:szCs w:val="24"/>
        </w:rPr>
        <w:t>.</w:t>
      </w:r>
      <w:r w:rsidR="00DA7AFE">
        <w:rPr>
          <w:rFonts w:ascii="Arial" w:eastAsia="Times New Roman" w:hAnsi="Arial" w:cs="Arial"/>
          <w:sz w:val="24"/>
          <w:szCs w:val="24"/>
        </w:rPr>
        <w:t xml:space="preserve"> </w:t>
      </w:r>
    </w:p>
    <w:p w14:paraId="3DACB2C7" w14:textId="77777777" w:rsidR="00F71214" w:rsidRPr="00E36A23" w:rsidRDefault="00F71214" w:rsidP="00F42087">
      <w:pPr>
        <w:spacing w:before="100" w:beforeAutospacing="1" w:after="100" w:afterAutospacing="1" w:line="360" w:lineRule="auto"/>
        <w:jc w:val="both"/>
        <w:rPr>
          <w:rFonts w:ascii="Arial" w:eastAsia="Times New Roman" w:hAnsi="Arial" w:cs="Arial"/>
          <w:sz w:val="24"/>
          <w:szCs w:val="24"/>
        </w:rPr>
      </w:pPr>
    </w:p>
    <w:p w14:paraId="30F2E704" w14:textId="0428AD53" w:rsidR="00640373" w:rsidRPr="00E36A23" w:rsidRDefault="00640373" w:rsidP="00F42087">
      <w:pPr>
        <w:spacing w:before="100" w:beforeAutospacing="1" w:after="100" w:afterAutospacing="1" w:line="360" w:lineRule="auto"/>
        <w:jc w:val="both"/>
        <w:rPr>
          <w:rFonts w:ascii="Arial" w:eastAsia="Times New Roman" w:hAnsi="Arial" w:cs="Arial"/>
          <w:sz w:val="24"/>
          <w:szCs w:val="24"/>
        </w:rPr>
      </w:pPr>
      <w:r w:rsidRPr="00E36A23">
        <w:rPr>
          <w:rFonts w:ascii="Arial" w:eastAsia="Times New Roman" w:hAnsi="Arial" w:cs="Arial"/>
          <w:b/>
          <w:bCs/>
          <w:sz w:val="24"/>
          <w:szCs w:val="24"/>
        </w:rPr>
        <w:t>Prezado Senhor Agente de Contratação,</w:t>
      </w:r>
    </w:p>
    <w:p w14:paraId="6BBB3FEB" w14:textId="042005C9" w:rsidR="00500E0B" w:rsidRPr="00E36A23"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 xml:space="preserve">Em atenção ao processo licitatório nº </w:t>
      </w:r>
      <w:r w:rsidR="00F71214" w:rsidRPr="00E36A23">
        <w:rPr>
          <w:rFonts w:ascii="Arial" w:eastAsia="Times New Roman" w:hAnsi="Arial" w:cs="Arial"/>
          <w:sz w:val="24"/>
          <w:szCs w:val="24"/>
        </w:rPr>
        <w:t>202400047002643</w:t>
      </w:r>
      <w:r w:rsidRPr="00E36A23">
        <w:rPr>
          <w:rFonts w:ascii="Arial" w:eastAsia="Times New Roman" w:hAnsi="Arial" w:cs="Arial"/>
          <w:sz w:val="24"/>
          <w:szCs w:val="24"/>
        </w:rPr>
        <w:t xml:space="preserve">, referente à contratação dos serviços de </w:t>
      </w:r>
      <w:r w:rsidR="00F71214" w:rsidRPr="00E36A23">
        <w:rPr>
          <w:rFonts w:ascii="Arial" w:eastAsia="Times New Roman" w:hAnsi="Arial" w:cs="Arial"/>
          <w:sz w:val="24"/>
          <w:szCs w:val="24"/>
        </w:rPr>
        <w:t>serviços continuados de manutenção preventiva e corretiva de 4 (quatro) Grupos Motores Geradores (</w:t>
      </w:r>
      <w:proofErr w:type="spellStart"/>
      <w:r w:rsidR="00F71214" w:rsidRPr="00E36A23">
        <w:rPr>
          <w:rFonts w:ascii="Arial" w:eastAsia="Times New Roman" w:hAnsi="Arial" w:cs="Arial"/>
          <w:sz w:val="24"/>
          <w:szCs w:val="24"/>
        </w:rPr>
        <w:t>GMGs</w:t>
      </w:r>
      <w:proofErr w:type="spellEnd"/>
      <w:r w:rsidR="00F71214" w:rsidRPr="00E36A23">
        <w:rPr>
          <w:rFonts w:ascii="Arial" w:eastAsia="Times New Roman" w:hAnsi="Arial" w:cs="Arial"/>
          <w:sz w:val="24"/>
          <w:szCs w:val="24"/>
        </w:rPr>
        <w:t>), com atendimento in loco SOB DEMANDA, 2 (dois) fabricados pela empresa STEMAC S.A. e outros 2 (dois) fabricados pela empresa CUMMINS/DCCO, com fornecimento de peças para todos geradores exclusivamente originais da fabricante, 2 (dois) reservatórios de combustível diesel externo e seus acessórios, instalados no Pátio de Serviços</w:t>
      </w:r>
      <w:r w:rsidRPr="00E36A23">
        <w:rPr>
          <w:rFonts w:ascii="Arial" w:eastAsia="Times New Roman" w:hAnsi="Arial" w:cs="Arial"/>
          <w:sz w:val="24"/>
          <w:szCs w:val="24"/>
        </w:rPr>
        <w:t>, com especial enfoque naquelas que apresentam significativo deságio em relação ao valor estimado</w:t>
      </w:r>
      <w:r w:rsidR="00E8161C" w:rsidRPr="00E36A23">
        <w:rPr>
          <w:rFonts w:ascii="Arial" w:eastAsia="Times New Roman" w:hAnsi="Arial" w:cs="Arial"/>
          <w:sz w:val="24"/>
          <w:szCs w:val="24"/>
        </w:rPr>
        <w:t xml:space="preserve"> de R$ </w:t>
      </w:r>
      <w:r w:rsidR="00F71214" w:rsidRPr="00E36A23">
        <w:rPr>
          <w:rFonts w:ascii="Arial" w:eastAsia="Times New Roman" w:hAnsi="Arial" w:cs="Arial"/>
          <w:sz w:val="24"/>
          <w:szCs w:val="24"/>
        </w:rPr>
        <w:t>252.388,84 (duzentos e cinquenta e dois mil e trezentos e oitenta e oito reais e oitenta e quatro centavos)</w:t>
      </w:r>
      <w:r w:rsidR="00E8161C" w:rsidRPr="00E36A23">
        <w:rPr>
          <w:rFonts w:ascii="Arial" w:eastAsia="Times New Roman" w:hAnsi="Arial" w:cs="Arial"/>
          <w:sz w:val="24"/>
          <w:szCs w:val="24"/>
        </w:rPr>
        <w:t xml:space="preserve"> pela Administração Pública</w:t>
      </w:r>
      <w:r w:rsidRPr="00E36A23">
        <w:rPr>
          <w:rFonts w:ascii="Arial" w:eastAsia="Times New Roman" w:hAnsi="Arial" w:cs="Arial"/>
          <w:sz w:val="24"/>
          <w:szCs w:val="24"/>
        </w:rPr>
        <w:t>.</w:t>
      </w:r>
      <w:r w:rsidR="00E8161C" w:rsidRPr="00E36A23">
        <w:rPr>
          <w:rFonts w:ascii="Arial" w:eastAsia="Times New Roman" w:hAnsi="Arial" w:cs="Arial"/>
          <w:sz w:val="24"/>
          <w:szCs w:val="24"/>
        </w:rPr>
        <w:t xml:space="preserve"> </w:t>
      </w:r>
    </w:p>
    <w:p w14:paraId="71841505" w14:textId="20CC2C77" w:rsidR="00A65BB9" w:rsidRPr="00E36A23" w:rsidRDefault="00E8161C"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 xml:space="preserve">Trata-se de um contrato com regime de execução por custos unitários, </w:t>
      </w:r>
      <w:r w:rsidR="00500E0B" w:rsidRPr="00E36A23">
        <w:rPr>
          <w:rFonts w:ascii="Arial" w:eastAsia="Times New Roman" w:hAnsi="Arial" w:cs="Arial"/>
          <w:sz w:val="24"/>
          <w:szCs w:val="24"/>
        </w:rPr>
        <w:t xml:space="preserve">onde o preço do contrato é definido por unidade de medida do bem ou serviço a ser executado e a contratada é remunerada por cada unidade produzida e não por um valor global fixo mensal, não havendo a possibilidade de compensação de lucro entre itens. </w:t>
      </w:r>
    </w:p>
    <w:p w14:paraId="7195408B" w14:textId="23D9B1BB" w:rsidR="00640373" w:rsidRPr="00E36A23" w:rsidRDefault="00500E0B"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Os contratos por preços unitários, apesar de sua flexibilidade e vantagens, são suscetíveis a práticas como os "jogos de planilha", onde os contratados podem manipular as quantidades ou os preços unitários para obter vantagens financeiras indevidas. Para proteger o erário público dessas práticas, é fundamental adotar medidas preventivas e de controle rigoroso durante todo o ciclo de vida do contrato. As licitantes devem apresentar justificativas para os preços unitários propostos, demonstrando a sua composição e a sua relação com os custos de produção.</w:t>
      </w:r>
    </w:p>
    <w:p w14:paraId="0120328C" w14:textId="76503765" w:rsidR="00E8161C" w:rsidRPr="00E36A23" w:rsidRDefault="00E8161C"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 xml:space="preserve">A estimativa orçamentária foi elaborada com base em um levantamento detalhado dos materiais e serviços necessários à execução do objeto da licitação. </w:t>
      </w:r>
      <w:r w:rsidRPr="00E36A23">
        <w:rPr>
          <w:rFonts w:ascii="Arial" w:eastAsia="Times New Roman" w:hAnsi="Arial" w:cs="Arial"/>
          <w:sz w:val="24"/>
          <w:szCs w:val="24"/>
        </w:rPr>
        <w:lastRenderedPageBreak/>
        <w:t>Para cada item, foram realizadas cotações de mercado junto a fornecedores idôneos e com histórico de atuação no segmento. As cotações obtidas foram analisadas de forma criteriosa, considerando fatores como a qualidade dos produtos, as condições de pagamento e os prazos de entrega.</w:t>
      </w:r>
    </w:p>
    <w:p w14:paraId="7E6A096F" w14:textId="1755BB94" w:rsidR="00E8161C" w:rsidRPr="00E36A23" w:rsidRDefault="00E8161C"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 xml:space="preserve">Ressaltamos que desse valor estimado, cerca de R$ </w:t>
      </w:r>
      <w:r w:rsidR="00F71214" w:rsidRPr="00E36A23">
        <w:rPr>
          <w:rFonts w:ascii="Arial" w:eastAsia="Times New Roman" w:hAnsi="Arial" w:cs="Arial"/>
          <w:sz w:val="24"/>
          <w:szCs w:val="24"/>
        </w:rPr>
        <w:t>107.977,21</w:t>
      </w:r>
      <w:r w:rsidRPr="00E36A23">
        <w:rPr>
          <w:rFonts w:ascii="Arial" w:eastAsia="Times New Roman" w:hAnsi="Arial" w:cs="Arial"/>
          <w:sz w:val="24"/>
          <w:szCs w:val="24"/>
        </w:rPr>
        <w:t xml:space="preserve"> (</w:t>
      </w:r>
      <w:r w:rsidR="00F71214" w:rsidRPr="00E36A23">
        <w:rPr>
          <w:rFonts w:ascii="Arial" w:eastAsia="Times New Roman" w:hAnsi="Arial" w:cs="Arial"/>
          <w:sz w:val="24"/>
          <w:szCs w:val="24"/>
        </w:rPr>
        <w:t>cento e sete mil e novecentos e setenta e sete reais e vinte e um centavos</w:t>
      </w:r>
      <w:r w:rsidRPr="00E36A23">
        <w:rPr>
          <w:rFonts w:ascii="Arial" w:eastAsia="Times New Roman" w:hAnsi="Arial" w:cs="Arial"/>
          <w:sz w:val="24"/>
          <w:szCs w:val="24"/>
        </w:rPr>
        <w:t>) se referem à parcela da mão de obra, cujo custo unitário</w:t>
      </w:r>
      <w:r w:rsidR="00F71214" w:rsidRPr="00E36A23">
        <w:rPr>
          <w:rFonts w:ascii="Arial" w:eastAsia="Times New Roman" w:hAnsi="Arial" w:cs="Arial"/>
          <w:sz w:val="24"/>
          <w:szCs w:val="24"/>
        </w:rPr>
        <w:t xml:space="preserve"> deve incluir a visita técnica com uma equipe de profissionais especializados</w:t>
      </w:r>
      <w:r w:rsidRPr="00E36A23">
        <w:rPr>
          <w:rFonts w:ascii="Arial" w:eastAsia="Times New Roman" w:hAnsi="Arial" w:cs="Arial"/>
          <w:sz w:val="24"/>
          <w:szCs w:val="24"/>
        </w:rPr>
        <w:t xml:space="preserve">, </w:t>
      </w:r>
      <w:r w:rsidR="00E36A23" w:rsidRPr="00E36A23">
        <w:rPr>
          <w:rFonts w:ascii="Arial" w:eastAsia="Times New Roman" w:hAnsi="Arial" w:cs="Arial"/>
          <w:sz w:val="24"/>
          <w:szCs w:val="24"/>
        </w:rPr>
        <w:t>que também deve</w:t>
      </w:r>
      <w:r w:rsidRPr="00E36A23">
        <w:rPr>
          <w:rFonts w:ascii="Arial" w:eastAsia="Times New Roman" w:hAnsi="Arial" w:cs="Arial"/>
          <w:sz w:val="24"/>
          <w:szCs w:val="24"/>
        </w:rPr>
        <w:t xml:space="preserve"> garantir o cumprimento da legislação trabalhista brasileira, visando a prevenção de fraudes e concorrência desleal, garantindo a responsabilidade social e proteção ao próprio Erário Público, uma vez que o não cumprimento da legislação trabalhista pode gerar passivos trabalhistas para a Administração Pública, que pode ser responsabilizada solidariamente pelos débitos trabalhistas dessa mão de obra com dedicação exclusiva a esta Corte de Contas. </w:t>
      </w:r>
    </w:p>
    <w:p w14:paraId="4B3FE2D3" w14:textId="77777777" w:rsidR="00E8161C" w:rsidRPr="00E36A23" w:rsidRDefault="00E8161C"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É importante ressaltar que, ao realizar as cotações de mercado, a unidade técnica observou que a margem para descontos nos preços dos materiais e serviços era relativamente pequena. Essa constatação se deve a diversos fatores, tais como:</w:t>
      </w:r>
    </w:p>
    <w:p w14:paraId="6CED9ACF" w14:textId="77777777" w:rsidR="00E8161C" w:rsidRPr="00E36A23" w:rsidRDefault="00E8161C" w:rsidP="00F42087">
      <w:pPr>
        <w:numPr>
          <w:ilvl w:val="0"/>
          <w:numId w:val="23"/>
        </w:numPr>
        <w:spacing w:before="100" w:beforeAutospacing="1" w:after="100" w:afterAutospacing="1" w:line="360" w:lineRule="auto"/>
        <w:jc w:val="both"/>
        <w:rPr>
          <w:rFonts w:ascii="Arial" w:eastAsia="Times New Roman" w:hAnsi="Arial" w:cs="Arial"/>
          <w:sz w:val="24"/>
          <w:szCs w:val="24"/>
        </w:rPr>
      </w:pPr>
      <w:r w:rsidRPr="00E36A23">
        <w:rPr>
          <w:rFonts w:ascii="Arial" w:eastAsia="Times New Roman" w:hAnsi="Arial" w:cs="Arial"/>
          <w:b/>
          <w:bCs/>
          <w:sz w:val="24"/>
          <w:szCs w:val="24"/>
        </w:rPr>
        <w:t>Alta demanda por determinados materiais:</w:t>
      </w:r>
      <w:r w:rsidRPr="00E36A23">
        <w:rPr>
          <w:rFonts w:ascii="Arial" w:eastAsia="Times New Roman" w:hAnsi="Arial" w:cs="Arial"/>
          <w:sz w:val="24"/>
          <w:szCs w:val="24"/>
        </w:rPr>
        <w:t xml:space="preserve"> A elevada demanda por alguns itens, em decorrência da escassez ou de restrições na cadeia de suprimentos, pode limitar a possibilidade de negociação de preços mais baixos.</w:t>
      </w:r>
    </w:p>
    <w:p w14:paraId="7258DA8D" w14:textId="77777777" w:rsidR="00E8161C" w:rsidRPr="00E36A23" w:rsidRDefault="00E8161C" w:rsidP="00F42087">
      <w:pPr>
        <w:numPr>
          <w:ilvl w:val="0"/>
          <w:numId w:val="23"/>
        </w:numPr>
        <w:spacing w:before="100" w:beforeAutospacing="1" w:after="100" w:afterAutospacing="1" w:line="360" w:lineRule="auto"/>
        <w:jc w:val="both"/>
        <w:rPr>
          <w:rFonts w:ascii="Arial" w:eastAsia="Times New Roman" w:hAnsi="Arial" w:cs="Arial"/>
          <w:sz w:val="24"/>
          <w:szCs w:val="24"/>
        </w:rPr>
      </w:pPr>
      <w:r w:rsidRPr="00E36A23">
        <w:rPr>
          <w:rFonts w:ascii="Arial" w:eastAsia="Times New Roman" w:hAnsi="Arial" w:cs="Arial"/>
          <w:b/>
          <w:bCs/>
          <w:sz w:val="24"/>
          <w:szCs w:val="24"/>
        </w:rPr>
        <w:t>Aumento dos custos de produção:</w:t>
      </w:r>
      <w:r w:rsidRPr="00E36A23">
        <w:rPr>
          <w:rFonts w:ascii="Arial" w:eastAsia="Times New Roman" w:hAnsi="Arial" w:cs="Arial"/>
          <w:sz w:val="24"/>
          <w:szCs w:val="24"/>
        </w:rPr>
        <w:t xml:space="preserve"> A inflação e o aumento dos custos de produção podem pressionar os preços dos insumos e impactar diretamente nos valores finais dos produtos e serviços.</w:t>
      </w:r>
    </w:p>
    <w:p w14:paraId="55C54E07" w14:textId="6B520745" w:rsidR="00E8161C" w:rsidRPr="00E36A23" w:rsidRDefault="00E8161C" w:rsidP="00F42087">
      <w:pPr>
        <w:numPr>
          <w:ilvl w:val="0"/>
          <w:numId w:val="23"/>
        </w:numPr>
        <w:spacing w:before="100" w:beforeAutospacing="1" w:after="100" w:afterAutospacing="1" w:line="360" w:lineRule="auto"/>
        <w:jc w:val="both"/>
        <w:rPr>
          <w:rFonts w:ascii="Arial" w:eastAsia="Times New Roman" w:hAnsi="Arial" w:cs="Arial"/>
          <w:sz w:val="24"/>
          <w:szCs w:val="24"/>
        </w:rPr>
      </w:pPr>
      <w:r w:rsidRPr="00E36A23">
        <w:rPr>
          <w:rFonts w:ascii="Arial" w:eastAsia="Times New Roman" w:hAnsi="Arial" w:cs="Arial"/>
          <w:b/>
          <w:bCs/>
          <w:sz w:val="24"/>
          <w:szCs w:val="24"/>
        </w:rPr>
        <w:t>Concorrência limitada:</w:t>
      </w:r>
      <w:r w:rsidRPr="00E36A23">
        <w:rPr>
          <w:rFonts w:ascii="Arial" w:eastAsia="Times New Roman" w:hAnsi="Arial" w:cs="Arial"/>
          <w:sz w:val="24"/>
          <w:szCs w:val="24"/>
        </w:rPr>
        <w:t xml:space="preserve"> Em alguns casos, a concorrência no mercado pode ser limitada</w:t>
      </w:r>
      <w:r w:rsidR="00E36A23">
        <w:rPr>
          <w:rFonts w:ascii="Arial" w:eastAsia="Times New Roman" w:hAnsi="Arial" w:cs="Arial"/>
          <w:sz w:val="24"/>
          <w:szCs w:val="24"/>
        </w:rPr>
        <w:t xml:space="preserve"> porque foi exigido fornecimento de peças originais</w:t>
      </w:r>
      <w:r w:rsidRPr="00E36A23">
        <w:rPr>
          <w:rFonts w:ascii="Arial" w:eastAsia="Times New Roman" w:hAnsi="Arial" w:cs="Arial"/>
          <w:sz w:val="24"/>
          <w:szCs w:val="24"/>
        </w:rPr>
        <w:t>, o que reduz o poder de negociação dos compradores.</w:t>
      </w:r>
    </w:p>
    <w:p w14:paraId="0082AF61" w14:textId="77777777" w:rsidR="00F42087" w:rsidRPr="00E36A23" w:rsidRDefault="00F42087" w:rsidP="00F42087">
      <w:pPr>
        <w:spacing w:before="100" w:beforeAutospacing="1" w:after="100" w:afterAutospacing="1" w:line="360" w:lineRule="auto"/>
        <w:jc w:val="both"/>
        <w:rPr>
          <w:rFonts w:ascii="Arial" w:eastAsia="Times New Roman" w:hAnsi="Arial" w:cs="Arial"/>
          <w:b/>
          <w:sz w:val="24"/>
          <w:szCs w:val="24"/>
        </w:rPr>
      </w:pPr>
    </w:p>
    <w:p w14:paraId="131AE296" w14:textId="1889FB84" w:rsidR="00F42087" w:rsidRPr="00E36A23" w:rsidRDefault="00F42087" w:rsidP="00F42087">
      <w:pPr>
        <w:spacing w:before="100" w:beforeAutospacing="1" w:after="100" w:afterAutospacing="1" w:line="360" w:lineRule="auto"/>
        <w:jc w:val="both"/>
        <w:rPr>
          <w:rFonts w:ascii="Arial" w:eastAsia="Times New Roman" w:hAnsi="Arial" w:cs="Arial"/>
          <w:b/>
          <w:sz w:val="24"/>
          <w:szCs w:val="24"/>
        </w:rPr>
      </w:pPr>
      <w:r w:rsidRPr="00E36A23">
        <w:rPr>
          <w:rFonts w:ascii="Arial" w:eastAsia="Times New Roman" w:hAnsi="Arial" w:cs="Arial"/>
          <w:b/>
          <w:sz w:val="24"/>
          <w:szCs w:val="24"/>
        </w:rPr>
        <w:t>Deságios excessivos no âmbito da Administração Pública</w:t>
      </w:r>
    </w:p>
    <w:p w14:paraId="05DA0844" w14:textId="5DBFB472" w:rsidR="00640373" w:rsidRPr="00E36A23"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lastRenderedPageBreak/>
        <w:t>Conforme dispõe a legislação vigente, em especial a Lei nº 14.133/2021, a Administração Pública deve adotar medidas que garantam a execução adequada e eficaz dos contratos administrativos, sendo imprescindível a verificação da viabilidade econômica das propostas apresentadas pel</w:t>
      </w:r>
      <w:r w:rsidR="00500E0B" w:rsidRPr="00E36A23">
        <w:rPr>
          <w:rFonts w:ascii="Arial" w:eastAsia="Times New Roman" w:hAnsi="Arial" w:cs="Arial"/>
          <w:sz w:val="24"/>
          <w:szCs w:val="24"/>
        </w:rPr>
        <w:t>a</w:t>
      </w:r>
      <w:r w:rsidRPr="00E36A23">
        <w:rPr>
          <w:rFonts w:ascii="Arial" w:eastAsia="Times New Roman" w:hAnsi="Arial" w:cs="Arial"/>
          <w:sz w:val="24"/>
          <w:szCs w:val="24"/>
        </w:rPr>
        <w:t>s licitantes.</w:t>
      </w:r>
    </w:p>
    <w:p w14:paraId="5BCD138A" w14:textId="77777777" w:rsidR="00500E0B" w:rsidRPr="00E36A23" w:rsidRDefault="00500E0B"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A análise de propostas em licitações públicas é um processo complexo que exige do gestor público uma atenção especial, sobretudo quando se deparam com propostas que apresentam um deságio excessivo em relação ao valor estimado para a contratação. A Lei nº 14.133/2021, nova Lei de Licitações, trouxe importantes avanços para o aprimoramento dos processos licitatórios, mas a questão do deságio excessivo continua sendo um desafio a ser superado.</w:t>
      </w:r>
    </w:p>
    <w:p w14:paraId="65738BD1" w14:textId="77777777" w:rsidR="00500E0B" w:rsidRPr="00E36A23" w:rsidRDefault="00500E0B"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O deságio excessivo, compreendido como a diferença significativa entre o valor proposto pelo licitante e o valor estimado pela Administração, pode indicar a ocorrência de diversas irregularidades, tais como subavaliação de custos, concorrência desleal ou, até mesmo, a intenção de não cumprir o contrato. Diante dessa possibilidade, é imprescindível que o gestor público adote uma postura criteriosa na análise dessas propostas, buscando garantir a legalidade, a economicidade e a eficiência da contratação.</w:t>
      </w:r>
    </w:p>
    <w:p w14:paraId="19208C88" w14:textId="77777777" w:rsidR="00500E0B" w:rsidRPr="00E36A23" w:rsidRDefault="00500E0B"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A Lei nº 14.133/2021, ao estabelecer os princípios da legalidade, da impessoalidade, da moralidade, da publicidade, da competitividade, da igualdade, da probidade administrativa, da vinculação ao instrumento convocatório, do julgamento objetivo e da eficiência, impõe ao gestor público o dever de realizar uma análise minuciosa de todas as propostas apresentadas, inclusive daquelas que apresentam um deságio excessivo. Nesse sentido, a norma legal prevê que a proposta vencedora deverá ser aquela que, além de atender a todos os requisitos estabelecidos no edital, apresentar o melhor preço e as melhores condições para a Administração.</w:t>
      </w:r>
    </w:p>
    <w:p w14:paraId="10BBFC0D" w14:textId="77777777" w:rsidR="00500E0B" w:rsidRPr="00E36A23" w:rsidRDefault="00500E0B"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 xml:space="preserve">A análise da proposta com deságio excessivo deve ser realizada de forma criteriosa, levando em consideração diversos fatores, tais como a capacidade técnica da empresa, a sua experiência no mercado, a qualidade dos materiais e equipamentos a serem utilizados, as condições de trabalho dos funcionários e a viabilidade econômica da proposta. É fundamental que o gestor público tenha em mente que o preço mais baixo não é o único critério a ser considerado, sendo necessário avaliar a </w:t>
      </w:r>
      <w:r w:rsidRPr="00E36A23">
        <w:rPr>
          <w:rFonts w:ascii="Arial" w:eastAsia="Times New Roman" w:hAnsi="Arial" w:cs="Arial"/>
          <w:sz w:val="24"/>
          <w:szCs w:val="24"/>
        </w:rPr>
        <w:lastRenderedPageBreak/>
        <w:t>proposta como um todo, a fim de garantir a escolha da melhor alternativa para a Administração.</w:t>
      </w:r>
    </w:p>
    <w:p w14:paraId="0BBA2E3B" w14:textId="77777777" w:rsidR="00500E0B" w:rsidRPr="00E36A23" w:rsidRDefault="00500E0B"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A desclassificação de uma proposta com deságio excessivo é uma medida extrema e deve ser tomada com cautela, apenas quando houver indícios concretos de que a empresa não possui condições de executar o contrato de forma adequada. A decisão de desclassificar uma proposta deve ser devidamente fundamentada, com base em elementos objetivos e concretos, a fim de evitar questionamentos judiciais e garantir a segurança jurídica do processo licitatório.</w:t>
      </w:r>
    </w:p>
    <w:p w14:paraId="008C3F31" w14:textId="77777777" w:rsidR="00500E0B" w:rsidRPr="00E36A23" w:rsidRDefault="00500E0B"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Em suma, a análise de propostas com deságio excessivo em licitações públicas exige do gestor público uma postura proativa e criteriosa, buscando garantir a escolha da melhor alternativa para a Administração. A desclassificação de uma proposta, embora seja uma medida drástica, pode ser necessária em determinadas situações, a fim de evitar prejuízos para o erário e para a sociedade como um todo.</w:t>
      </w:r>
    </w:p>
    <w:p w14:paraId="187BBE3F" w14:textId="27585283" w:rsidR="00640373" w:rsidRPr="00E36A23"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 xml:space="preserve">Considerando o expressivo deságio apresentado </w:t>
      </w:r>
      <w:r w:rsidR="00500E0B" w:rsidRPr="00E36A23">
        <w:rPr>
          <w:rFonts w:ascii="Arial" w:eastAsia="Times New Roman" w:hAnsi="Arial" w:cs="Arial"/>
          <w:sz w:val="24"/>
          <w:szCs w:val="24"/>
        </w:rPr>
        <w:t>pela</w:t>
      </w:r>
      <w:r w:rsidRPr="00E36A23">
        <w:rPr>
          <w:rFonts w:ascii="Arial" w:eastAsia="Times New Roman" w:hAnsi="Arial" w:cs="Arial"/>
          <w:sz w:val="24"/>
          <w:szCs w:val="24"/>
        </w:rPr>
        <w:t xml:space="preserve"> empresa licitante, torna-se fundamental que seja realizada uma análise aprofundada da proposta, a fim de se verificar a sua exequibilidade. A apresentação de propostas com valores significativamente inferiores aos praticados no mercado pode indicar a ocorrência de algum vício, como a subavaliação de custos, a intenção de descumprir o contrato ou, ainda, a prática de concorrência desleal.</w:t>
      </w:r>
    </w:p>
    <w:p w14:paraId="5E3E2A70" w14:textId="77777777" w:rsidR="00640373" w:rsidRPr="00E36A23"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Nesse sentido, sugerimos que a análise da exequibilidade leve em consideração os seguintes aspectos:</w:t>
      </w:r>
    </w:p>
    <w:p w14:paraId="11EEE355" w14:textId="77777777" w:rsidR="00640373" w:rsidRPr="00E36A23" w:rsidRDefault="00640373" w:rsidP="0071401E">
      <w:pPr>
        <w:numPr>
          <w:ilvl w:val="0"/>
          <w:numId w:val="20"/>
        </w:numPr>
        <w:tabs>
          <w:tab w:val="clear" w:pos="720"/>
        </w:tabs>
        <w:spacing w:before="100" w:beforeAutospacing="1" w:after="100" w:afterAutospacing="1" w:line="360" w:lineRule="auto"/>
        <w:ind w:left="1418"/>
        <w:jc w:val="both"/>
        <w:rPr>
          <w:rFonts w:ascii="Arial" w:eastAsia="Times New Roman" w:hAnsi="Arial" w:cs="Arial"/>
          <w:sz w:val="24"/>
          <w:szCs w:val="24"/>
        </w:rPr>
      </w:pPr>
      <w:r w:rsidRPr="00E36A23">
        <w:rPr>
          <w:rFonts w:ascii="Arial" w:eastAsia="Times New Roman" w:hAnsi="Arial" w:cs="Arial"/>
          <w:b/>
          <w:bCs/>
          <w:sz w:val="24"/>
          <w:szCs w:val="24"/>
        </w:rPr>
        <w:t>Estrutura de custos da empresa:</w:t>
      </w:r>
      <w:r w:rsidRPr="00E36A23">
        <w:rPr>
          <w:rFonts w:ascii="Arial" w:eastAsia="Times New Roman" w:hAnsi="Arial" w:cs="Arial"/>
          <w:sz w:val="24"/>
          <w:szCs w:val="24"/>
        </w:rPr>
        <w:t xml:space="preserve"> Analisar a composição dos custos apresentados pela empresa, verificando se os valores são compatíveis com os praticados no mercado para os serviços em questão.</w:t>
      </w:r>
    </w:p>
    <w:p w14:paraId="0870079F" w14:textId="77777777" w:rsidR="00640373" w:rsidRPr="00E36A23" w:rsidRDefault="00640373" w:rsidP="0071401E">
      <w:pPr>
        <w:numPr>
          <w:ilvl w:val="0"/>
          <w:numId w:val="20"/>
        </w:numPr>
        <w:tabs>
          <w:tab w:val="clear" w:pos="720"/>
        </w:tabs>
        <w:spacing w:before="100" w:beforeAutospacing="1" w:after="100" w:afterAutospacing="1" w:line="360" w:lineRule="auto"/>
        <w:ind w:left="1418"/>
        <w:jc w:val="both"/>
        <w:rPr>
          <w:rFonts w:ascii="Arial" w:eastAsia="Times New Roman" w:hAnsi="Arial" w:cs="Arial"/>
          <w:sz w:val="24"/>
          <w:szCs w:val="24"/>
        </w:rPr>
      </w:pPr>
      <w:r w:rsidRPr="00E36A23">
        <w:rPr>
          <w:rFonts w:ascii="Arial" w:eastAsia="Times New Roman" w:hAnsi="Arial" w:cs="Arial"/>
          <w:b/>
          <w:bCs/>
          <w:sz w:val="24"/>
          <w:szCs w:val="24"/>
        </w:rPr>
        <w:t>Qualidade dos insumos e materiais:</w:t>
      </w:r>
      <w:r w:rsidRPr="00E36A23">
        <w:rPr>
          <w:rFonts w:ascii="Arial" w:eastAsia="Times New Roman" w:hAnsi="Arial" w:cs="Arial"/>
          <w:sz w:val="24"/>
          <w:szCs w:val="24"/>
        </w:rPr>
        <w:t xml:space="preserve"> Verificar a qualidade dos insumos e materiais que serão utilizados na execução dos serviços, a fim de garantir a eficácia e a durabilidade dos resultados.</w:t>
      </w:r>
    </w:p>
    <w:p w14:paraId="7BB67B7B" w14:textId="02622AAF" w:rsidR="00640373" w:rsidRPr="00E36A23" w:rsidRDefault="00640373" w:rsidP="0071401E">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 xml:space="preserve">Diante do exposto, reiteramos a importância de uma análise rigorosa da exequibilidade das propostas, a fim de se evitar a contratação de serviços com </w:t>
      </w:r>
      <w:r w:rsidRPr="00E36A23">
        <w:rPr>
          <w:rFonts w:ascii="Arial" w:eastAsia="Times New Roman" w:hAnsi="Arial" w:cs="Arial"/>
          <w:sz w:val="24"/>
          <w:szCs w:val="24"/>
        </w:rPr>
        <w:lastRenderedPageBreak/>
        <w:t>qualidade inferior ou o descumprimento contratual, o que poderia gerar prejuízos financeiros e imagem institucional à Corte de Contas.</w:t>
      </w:r>
    </w:p>
    <w:p w14:paraId="2C3059D9" w14:textId="28A3B425" w:rsidR="006F286A" w:rsidRPr="00E36A23" w:rsidRDefault="00F42087" w:rsidP="0071401E">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 xml:space="preserve">No caso da proposta anexa, constatamos que a empresa licitante ofertou uma taxa de Lucros e Despesas Indiretas (LDI) de </w:t>
      </w:r>
      <w:r w:rsidR="00DA7AFE">
        <w:rPr>
          <w:rFonts w:ascii="Arial" w:eastAsia="Times New Roman" w:hAnsi="Arial" w:cs="Arial"/>
          <w:sz w:val="24"/>
          <w:szCs w:val="24"/>
        </w:rPr>
        <w:t>34,69</w:t>
      </w:r>
      <w:r w:rsidR="00E36A23" w:rsidRPr="00E36A23">
        <w:rPr>
          <w:rFonts w:ascii="Arial" w:eastAsia="Times New Roman" w:hAnsi="Arial" w:cs="Arial"/>
          <w:sz w:val="24"/>
          <w:szCs w:val="24"/>
        </w:rPr>
        <w:t>%</w:t>
      </w:r>
      <w:r w:rsidRPr="00E36A23">
        <w:rPr>
          <w:rFonts w:ascii="Arial" w:eastAsia="Times New Roman" w:hAnsi="Arial" w:cs="Arial"/>
          <w:sz w:val="24"/>
          <w:szCs w:val="24"/>
        </w:rPr>
        <w:t>, a qua</w:t>
      </w:r>
      <w:r w:rsidR="00E36A23" w:rsidRPr="00E36A23">
        <w:rPr>
          <w:rFonts w:ascii="Arial" w:eastAsia="Times New Roman" w:hAnsi="Arial" w:cs="Arial"/>
          <w:sz w:val="24"/>
          <w:szCs w:val="24"/>
        </w:rPr>
        <w:t>l</w:t>
      </w:r>
      <w:r w:rsidRPr="00E36A23">
        <w:rPr>
          <w:rFonts w:ascii="Arial" w:eastAsia="Times New Roman" w:hAnsi="Arial" w:cs="Arial"/>
          <w:sz w:val="24"/>
          <w:szCs w:val="24"/>
        </w:rPr>
        <w:t xml:space="preserve"> entendemos </w:t>
      </w:r>
      <w:r w:rsidR="00E36A23" w:rsidRPr="00E36A23">
        <w:rPr>
          <w:rFonts w:ascii="Arial" w:eastAsia="Times New Roman" w:hAnsi="Arial" w:cs="Arial"/>
          <w:sz w:val="24"/>
          <w:szCs w:val="24"/>
        </w:rPr>
        <w:t>se tratar de um valor exequível</w:t>
      </w:r>
      <w:r w:rsidR="00DA7AFE">
        <w:rPr>
          <w:rFonts w:ascii="Arial" w:eastAsia="Times New Roman" w:hAnsi="Arial" w:cs="Arial"/>
          <w:sz w:val="24"/>
          <w:szCs w:val="24"/>
        </w:rPr>
        <w:t xml:space="preserve"> e saudável</w:t>
      </w:r>
      <w:r w:rsidRPr="00E36A23">
        <w:rPr>
          <w:rFonts w:ascii="Arial" w:eastAsia="Times New Roman" w:hAnsi="Arial" w:cs="Arial"/>
          <w:sz w:val="24"/>
          <w:szCs w:val="24"/>
        </w:rPr>
        <w:t xml:space="preserve">. </w:t>
      </w:r>
    </w:p>
    <w:p w14:paraId="04BF9BCB" w14:textId="38484DD6" w:rsidR="00F424BB" w:rsidRPr="00E36A23" w:rsidRDefault="00F42087" w:rsidP="00E36A23">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 xml:space="preserve">Todavia, a proposta também </w:t>
      </w:r>
      <w:r w:rsidR="006F286A" w:rsidRPr="00E36A23">
        <w:rPr>
          <w:rFonts w:ascii="Arial" w:eastAsia="Times New Roman" w:hAnsi="Arial" w:cs="Arial"/>
          <w:sz w:val="24"/>
          <w:szCs w:val="24"/>
        </w:rPr>
        <w:t xml:space="preserve">contemplou descontos </w:t>
      </w:r>
      <w:r w:rsidR="0071401E" w:rsidRPr="00E36A23">
        <w:rPr>
          <w:rFonts w:ascii="Arial" w:eastAsia="Times New Roman" w:hAnsi="Arial" w:cs="Arial"/>
          <w:sz w:val="24"/>
          <w:szCs w:val="24"/>
        </w:rPr>
        <w:t>significativos</w:t>
      </w:r>
      <w:r w:rsidR="006F286A" w:rsidRPr="00E36A23">
        <w:rPr>
          <w:rFonts w:ascii="Arial" w:eastAsia="Times New Roman" w:hAnsi="Arial" w:cs="Arial"/>
          <w:sz w:val="24"/>
          <w:szCs w:val="24"/>
        </w:rPr>
        <w:t xml:space="preserve"> </w:t>
      </w:r>
      <w:r w:rsidR="00F424BB" w:rsidRPr="00E36A23">
        <w:rPr>
          <w:rFonts w:ascii="Arial" w:eastAsia="Times New Roman" w:hAnsi="Arial" w:cs="Arial"/>
          <w:sz w:val="24"/>
          <w:szCs w:val="24"/>
        </w:rPr>
        <w:t>no custo direto dos</w:t>
      </w:r>
      <w:r w:rsidR="006F286A" w:rsidRPr="00E36A23">
        <w:rPr>
          <w:rFonts w:ascii="Arial" w:eastAsia="Times New Roman" w:hAnsi="Arial" w:cs="Arial"/>
          <w:sz w:val="24"/>
          <w:szCs w:val="24"/>
        </w:rPr>
        <w:t xml:space="preserve"> materiais, os quais não apresentam respaldo à </w:t>
      </w:r>
      <w:r w:rsidR="0071401E" w:rsidRPr="00E36A23">
        <w:rPr>
          <w:rFonts w:ascii="Arial" w:eastAsia="Times New Roman" w:hAnsi="Arial" w:cs="Arial"/>
          <w:sz w:val="24"/>
          <w:szCs w:val="24"/>
        </w:rPr>
        <w:t xml:space="preserve">realidade do mercado e </w:t>
      </w:r>
      <w:r w:rsidR="006F286A" w:rsidRPr="00E36A23">
        <w:rPr>
          <w:rFonts w:ascii="Arial" w:eastAsia="Times New Roman" w:hAnsi="Arial" w:cs="Arial"/>
          <w:sz w:val="24"/>
          <w:szCs w:val="24"/>
        </w:rPr>
        <w:t>natureza dos itens a serem fornecidos futuramente</w:t>
      </w:r>
      <w:r w:rsidR="00F71214" w:rsidRPr="00E36A23">
        <w:rPr>
          <w:rFonts w:ascii="Arial" w:eastAsia="Times New Roman" w:hAnsi="Arial" w:cs="Arial"/>
          <w:sz w:val="24"/>
          <w:szCs w:val="24"/>
        </w:rPr>
        <w:t>.</w:t>
      </w:r>
    </w:p>
    <w:p w14:paraId="571C00CD" w14:textId="109FB910" w:rsidR="00640373" w:rsidRPr="00E36A23" w:rsidRDefault="00F424BB" w:rsidP="00E36A23">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 xml:space="preserve">Conforme a análise preliminar desta unidade técnica, nem o ganho em escala </w:t>
      </w:r>
      <w:r w:rsidR="0071401E" w:rsidRPr="00E36A23">
        <w:rPr>
          <w:rFonts w:ascii="Arial" w:eastAsia="Times New Roman" w:hAnsi="Arial" w:cs="Arial"/>
          <w:sz w:val="24"/>
          <w:szCs w:val="24"/>
        </w:rPr>
        <w:t xml:space="preserve">tampouco </w:t>
      </w:r>
      <w:r w:rsidRPr="00E36A23">
        <w:rPr>
          <w:rFonts w:ascii="Arial" w:eastAsia="Times New Roman" w:hAnsi="Arial" w:cs="Arial"/>
          <w:sz w:val="24"/>
          <w:szCs w:val="24"/>
        </w:rPr>
        <w:t xml:space="preserve">o fornecimento de materiais de baixa qualidade ou em desconformidade com as marcas de referência solicitadas seriam suficientes para explicar um deságio </w:t>
      </w:r>
      <w:r w:rsidR="00E36A23" w:rsidRPr="00E36A23">
        <w:rPr>
          <w:rFonts w:ascii="Arial" w:eastAsia="Times New Roman" w:hAnsi="Arial" w:cs="Arial"/>
          <w:sz w:val="24"/>
          <w:szCs w:val="24"/>
        </w:rPr>
        <w:t>de até</w:t>
      </w:r>
      <w:r w:rsidRPr="00E36A23">
        <w:rPr>
          <w:rFonts w:ascii="Arial" w:eastAsia="Times New Roman" w:hAnsi="Arial" w:cs="Arial"/>
          <w:sz w:val="24"/>
          <w:szCs w:val="24"/>
        </w:rPr>
        <w:t xml:space="preserve"> </w:t>
      </w:r>
      <w:r w:rsidR="00E36A23" w:rsidRPr="00E36A23">
        <w:rPr>
          <w:rFonts w:ascii="Arial" w:eastAsia="Times New Roman" w:hAnsi="Arial" w:cs="Arial"/>
          <w:sz w:val="24"/>
          <w:szCs w:val="24"/>
        </w:rPr>
        <w:t>9</w:t>
      </w:r>
      <w:r w:rsidR="00DA7AFE">
        <w:rPr>
          <w:rFonts w:ascii="Arial" w:eastAsia="Times New Roman" w:hAnsi="Arial" w:cs="Arial"/>
          <w:sz w:val="24"/>
          <w:szCs w:val="24"/>
        </w:rPr>
        <w:t>6</w:t>
      </w:r>
      <w:r w:rsidR="00E36A23" w:rsidRPr="00E36A23">
        <w:rPr>
          <w:rFonts w:ascii="Arial" w:eastAsia="Times New Roman" w:hAnsi="Arial" w:cs="Arial"/>
          <w:sz w:val="24"/>
          <w:szCs w:val="24"/>
        </w:rPr>
        <w:t>,2</w:t>
      </w:r>
      <w:r w:rsidRPr="00E36A23">
        <w:rPr>
          <w:rFonts w:ascii="Arial" w:eastAsia="Times New Roman" w:hAnsi="Arial" w:cs="Arial"/>
          <w:sz w:val="24"/>
          <w:szCs w:val="24"/>
        </w:rPr>
        <w:t>% (</w:t>
      </w:r>
      <w:r w:rsidR="00E36A23" w:rsidRPr="00E36A23">
        <w:rPr>
          <w:rFonts w:ascii="Arial" w:eastAsia="Times New Roman" w:hAnsi="Arial" w:cs="Arial"/>
          <w:sz w:val="24"/>
          <w:szCs w:val="24"/>
        </w:rPr>
        <w:t xml:space="preserve">noventa e </w:t>
      </w:r>
      <w:r w:rsidR="00DA7AFE">
        <w:rPr>
          <w:rFonts w:ascii="Arial" w:eastAsia="Times New Roman" w:hAnsi="Arial" w:cs="Arial"/>
          <w:sz w:val="24"/>
          <w:szCs w:val="24"/>
        </w:rPr>
        <w:t>seis</w:t>
      </w:r>
      <w:r w:rsidR="00E36A23" w:rsidRPr="00E36A23">
        <w:rPr>
          <w:rFonts w:ascii="Arial" w:eastAsia="Times New Roman" w:hAnsi="Arial" w:cs="Arial"/>
          <w:sz w:val="24"/>
          <w:szCs w:val="24"/>
        </w:rPr>
        <w:t xml:space="preserve"> inteiros e dois décimos</w:t>
      </w:r>
      <w:r w:rsidRPr="00E36A23">
        <w:rPr>
          <w:rFonts w:ascii="Arial" w:eastAsia="Times New Roman" w:hAnsi="Arial" w:cs="Arial"/>
          <w:sz w:val="24"/>
          <w:szCs w:val="24"/>
        </w:rPr>
        <w:t xml:space="preserve"> por cento) em </w:t>
      </w:r>
      <w:r w:rsidR="00E36A23" w:rsidRPr="00E36A23">
        <w:rPr>
          <w:rFonts w:ascii="Arial" w:eastAsia="Times New Roman" w:hAnsi="Arial" w:cs="Arial"/>
          <w:sz w:val="24"/>
          <w:szCs w:val="24"/>
        </w:rPr>
        <w:t>peças originais da fabricante, não sendo aceitas peças paralelas ou recondicionadas</w:t>
      </w:r>
      <w:r w:rsidRPr="00E36A23">
        <w:rPr>
          <w:rFonts w:ascii="Arial" w:eastAsia="Times New Roman" w:hAnsi="Arial" w:cs="Arial"/>
          <w:sz w:val="24"/>
          <w:szCs w:val="24"/>
        </w:rPr>
        <w:t>.</w:t>
      </w:r>
    </w:p>
    <w:p w14:paraId="6B83CCD2" w14:textId="1E8A47EB" w:rsidR="00F42087" w:rsidRPr="00E36A23" w:rsidRDefault="00F42087" w:rsidP="00F42087">
      <w:pPr>
        <w:spacing w:before="100" w:beforeAutospacing="1" w:after="100" w:afterAutospacing="1" w:line="360" w:lineRule="auto"/>
        <w:jc w:val="both"/>
        <w:rPr>
          <w:rFonts w:ascii="Arial" w:eastAsia="Times New Roman" w:hAnsi="Arial" w:cs="Arial"/>
          <w:b/>
          <w:sz w:val="24"/>
          <w:szCs w:val="24"/>
        </w:rPr>
      </w:pPr>
      <w:r w:rsidRPr="00E36A23">
        <w:rPr>
          <w:rFonts w:ascii="Arial" w:eastAsia="Times New Roman" w:hAnsi="Arial" w:cs="Arial"/>
          <w:b/>
          <w:sz w:val="24"/>
          <w:szCs w:val="24"/>
        </w:rPr>
        <w:t>Meto</w:t>
      </w:r>
      <w:r w:rsidR="0071401E" w:rsidRPr="00E36A23">
        <w:rPr>
          <w:rFonts w:ascii="Arial" w:eastAsia="Times New Roman" w:hAnsi="Arial" w:cs="Arial"/>
          <w:b/>
          <w:sz w:val="24"/>
          <w:szCs w:val="24"/>
        </w:rPr>
        <w:t>do</w:t>
      </w:r>
      <w:r w:rsidRPr="00E36A23">
        <w:rPr>
          <w:rFonts w:ascii="Arial" w:eastAsia="Times New Roman" w:hAnsi="Arial" w:cs="Arial"/>
          <w:b/>
          <w:sz w:val="24"/>
          <w:szCs w:val="24"/>
        </w:rPr>
        <w:t>logia de análise da planilha orçamentária</w:t>
      </w:r>
    </w:p>
    <w:p w14:paraId="1BAEF961" w14:textId="0CCCFC1F" w:rsidR="00640373" w:rsidRPr="00E36A23"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A curva ABC, ferramenta de gestão consagrada pela sua eficiência na classificação de itens por ordem de importância, encontra um campo fértil de aplicação na análise de propostas em licitações públicas. Ao segmentar os materiais e serviços a serem adquiridos em categorias de acordo com seu impacto financeiro, a curva ABC proporciona uma visão mais clara e estratégica do processo, permitindo que os gestores públicos direcionem seus esforços para os itens que demandam maior atenção.</w:t>
      </w:r>
    </w:p>
    <w:p w14:paraId="22A1C965" w14:textId="77777777" w:rsidR="00640373" w:rsidRPr="00E36A23"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Na esfera das licitações, a curva ABC revela-se um instrumento valioso para a análise da exequibilidade das propostas apresentadas pelos licitantes. Ao identificar os itens classificados como "A", ou seja, aqueles que representam um pequeno percentual dos itens, mas um grande percentual do valor total do contrato, a Administração Pública pode concentrar sua análise nos aspectos mais relevantes da proposta, como a qualidade dos materiais, a capacidade técnica da empresa e a viabilidade econômica dos preços propostos.</w:t>
      </w:r>
    </w:p>
    <w:p w14:paraId="33B7E249" w14:textId="77777777" w:rsidR="00640373" w:rsidRPr="00E36A23"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lastRenderedPageBreak/>
        <w:t>A aplicação da curva ABC na análise de propostas permite, ainda, que a Administração Pública identifique possíveis desvios nos preços propostos pelos licitantes. Ao comparar os preços dos itens da classe A com os valores de mercado, é possível detectar propostas que apresentam deságio excessivo, o que pode indicar a ocorrência de irregularidades ou a intenção de não cumprir o contrato.</w:t>
      </w:r>
    </w:p>
    <w:p w14:paraId="7634AC3F" w14:textId="45ECE3DF" w:rsidR="00640373" w:rsidRPr="00E36A23"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Ao adotar a curva ABC como ferramenta de análise, a Administração Pública demonstra um compromisso com a eficiência e a economicidade. Afinal, ao concentrar seus esforços nos itens que possuem maior impacto financeiro, a Administração Pública pode evitar prejuízos e garantir a qualidade dos serviços contratados</w:t>
      </w:r>
      <w:r w:rsidR="0071401E" w:rsidRPr="00E36A23">
        <w:rPr>
          <w:rFonts w:ascii="Arial" w:eastAsia="Times New Roman" w:hAnsi="Arial" w:cs="Arial"/>
          <w:sz w:val="24"/>
          <w:szCs w:val="24"/>
        </w:rPr>
        <w:t xml:space="preserve"> de forma célere e eficiente</w:t>
      </w:r>
      <w:r w:rsidRPr="00E36A23">
        <w:rPr>
          <w:rFonts w:ascii="Arial" w:eastAsia="Times New Roman" w:hAnsi="Arial" w:cs="Arial"/>
          <w:sz w:val="24"/>
          <w:szCs w:val="24"/>
        </w:rPr>
        <w:t>.</w:t>
      </w:r>
    </w:p>
    <w:p w14:paraId="4B2C75EF" w14:textId="6DE23933" w:rsidR="00640373" w:rsidRPr="00E36A23" w:rsidRDefault="00640373" w:rsidP="0071401E">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Em suma, a curva ABC é uma ferramenta simples, mas poderosa, que pode transformar a forma como as propostas em licitações públicas são analisadas. Ao proporcionar uma visão mais clara e estratégica do processo, a curva ABC permite que os gestores públicos tomem decisões mais assertivas, garantindo a legalidade, a economicidade e a eficiência das contratações públicas.</w:t>
      </w:r>
      <w:r w:rsidR="000E287C" w:rsidRPr="00E36A23">
        <w:rPr>
          <w:rFonts w:ascii="Arial" w:eastAsia="Times New Roman" w:hAnsi="Arial" w:cs="Arial"/>
          <w:sz w:val="24"/>
          <w:szCs w:val="24"/>
        </w:rPr>
        <w:t xml:space="preserve"> </w:t>
      </w:r>
      <w:r w:rsidRPr="00E36A23">
        <w:rPr>
          <w:rFonts w:ascii="Arial" w:eastAsia="Times New Roman" w:hAnsi="Arial" w:cs="Arial"/>
          <w:bCs/>
          <w:sz w:val="24"/>
          <w:szCs w:val="24"/>
        </w:rPr>
        <w:t>Em síntese, a curva ABC, ao classificar os itens de uma licitação por ordem de importância, contribui para:</w:t>
      </w:r>
    </w:p>
    <w:p w14:paraId="03B523CD" w14:textId="77777777" w:rsidR="00640373" w:rsidRPr="00E36A23" w:rsidRDefault="00640373" w:rsidP="0071401E">
      <w:pPr>
        <w:numPr>
          <w:ilvl w:val="0"/>
          <w:numId w:val="21"/>
        </w:numPr>
        <w:tabs>
          <w:tab w:val="clear" w:pos="720"/>
        </w:tabs>
        <w:spacing w:before="100" w:beforeAutospacing="1" w:after="100" w:afterAutospacing="1" w:line="360" w:lineRule="auto"/>
        <w:ind w:left="1418" w:hanging="284"/>
        <w:jc w:val="both"/>
        <w:rPr>
          <w:rFonts w:ascii="Arial" w:eastAsia="Times New Roman" w:hAnsi="Arial" w:cs="Arial"/>
          <w:sz w:val="24"/>
          <w:szCs w:val="24"/>
        </w:rPr>
      </w:pPr>
      <w:r w:rsidRPr="00E36A23">
        <w:rPr>
          <w:rFonts w:ascii="Arial" w:eastAsia="Times New Roman" w:hAnsi="Arial" w:cs="Arial"/>
          <w:b/>
          <w:bCs/>
          <w:sz w:val="24"/>
          <w:szCs w:val="24"/>
        </w:rPr>
        <w:t>Foco nos itens críticos:</w:t>
      </w:r>
      <w:r w:rsidRPr="00E36A23">
        <w:rPr>
          <w:rFonts w:ascii="Arial" w:eastAsia="Times New Roman" w:hAnsi="Arial" w:cs="Arial"/>
          <w:sz w:val="24"/>
          <w:szCs w:val="24"/>
        </w:rPr>
        <w:t xml:space="preserve"> Permite concentrar a análise nos itens que possuem maior impacto financeiro.</w:t>
      </w:r>
    </w:p>
    <w:p w14:paraId="572B1802" w14:textId="77777777" w:rsidR="00640373" w:rsidRPr="00E36A23" w:rsidRDefault="00640373" w:rsidP="0071401E">
      <w:pPr>
        <w:numPr>
          <w:ilvl w:val="0"/>
          <w:numId w:val="21"/>
        </w:numPr>
        <w:tabs>
          <w:tab w:val="clear" w:pos="720"/>
        </w:tabs>
        <w:spacing w:before="100" w:beforeAutospacing="1" w:after="100" w:afterAutospacing="1" w:line="360" w:lineRule="auto"/>
        <w:ind w:left="1418" w:hanging="284"/>
        <w:jc w:val="both"/>
        <w:rPr>
          <w:rFonts w:ascii="Arial" w:eastAsia="Times New Roman" w:hAnsi="Arial" w:cs="Arial"/>
          <w:sz w:val="24"/>
          <w:szCs w:val="24"/>
        </w:rPr>
      </w:pPr>
      <w:r w:rsidRPr="00E36A23">
        <w:rPr>
          <w:rFonts w:ascii="Arial" w:eastAsia="Times New Roman" w:hAnsi="Arial" w:cs="Arial"/>
          <w:b/>
          <w:bCs/>
          <w:sz w:val="24"/>
          <w:szCs w:val="24"/>
        </w:rPr>
        <w:t>Identificação de possíveis desvios:</w:t>
      </w:r>
      <w:r w:rsidRPr="00E36A23">
        <w:rPr>
          <w:rFonts w:ascii="Arial" w:eastAsia="Times New Roman" w:hAnsi="Arial" w:cs="Arial"/>
          <w:sz w:val="24"/>
          <w:szCs w:val="24"/>
        </w:rPr>
        <w:t xml:space="preserve"> Facilita a identificação de propostas com deságio excessivo.</w:t>
      </w:r>
    </w:p>
    <w:p w14:paraId="0DA500A2" w14:textId="77777777" w:rsidR="00640373" w:rsidRPr="00E36A23" w:rsidRDefault="00640373" w:rsidP="0071401E">
      <w:pPr>
        <w:numPr>
          <w:ilvl w:val="0"/>
          <w:numId w:val="21"/>
        </w:numPr>
        <w:tabs>
          <w:tab w:val="clear" w:pos="720"/>
        </w:tabs>
        <w:spacing w:before="100" w:beforeAutospacing="1" w:after="100" w:afterAutospacing="1" w:line="360" w:lineRule="auto"/>
        <w:ind w:left="1418" w:hanging="284"/>
        <w:jc w:val="both"/>
        <w:rPr>
          <w:rFonts w:ascii="Arial" w:eastAsia="Times New Roman" w:hAnsi="Arial" w:cs="Arial"/>
          <w:sz w:val="24"/>
          <w:szCs w:val="24"/>
        </w:rPr>
      </w:pPr>
      <w:r w:rsidRPr="00E36A23">
        <w:rPr>
          <w:rFonts w:ascii="Arial" w:eastAsia="Times New Roman" w:hAnsi="Arial" w:cs="Arial"/>
          <w:b/>
          <w:bCs/>
          <w:sz w:val="24"/>
          <w:szCs w:val="24"/>
        </w:rPr>
        <w:t>Controle de qualidade:</w:t>
      </w:r>
      <w:r w:rsidRPr="00E36A23">
        <w:rPr>
          <w:rFonts w:ascii="Arial" w:eastAsia="Times New Roman" w:hAnsi="Arial" w:cs="Arial"/>
          <w:sz w:val="24"/>
          <w:szCs w:val="24"/>
        </w:rPr>
        <w:t xml:space="preserve"> Auxilia na avaliação da qualidade dos materiais e serviços propostos.</w:t>
      </w:r>
    </w:p>
    <w:p w14:paraId="0E1604BF" w14:textId="77777777" w:rsidR="00640373" w:rsidRPr="00E36A23" w:rsidRDefault="00640373" w:rsidP="0071401E">
      <w:pPr>
        <w:numPr>
          <w:ilvl w:val="0"/>
          <w:numId w:val="21"/>
        </w:numPr>
        <w:tabs>
          <w:tab w:val="clear" w:pos="720"/>
        </w:tabs>
        <w:spacing w:before="100" w:beforeAutospacing="1" w:after="100" w:afterAutospacing="1" w:line="360" w:lineRule="auto"/>
        <w:ind w:left="1418" w:hanging="284"/>
        <w:jc w:val="both"/>
        <w:rPr>
          <w:rFonts w:ascii="Arial" w:eastAsia="Times New Roman" w:hAnsi="Arial" w:cs="Arial"/>
          <w:sz w:val="24"/>
          <w:szCs w:val="24"/>
        </w:rPr>
      </w:pPr>
      <w:r w:rsidRPr="00E36A23">
        <w:rPr>
          <w:rFonts w:ascii="Arial" w:eastAsia="Times New Roman" w:hAnsi="Arial" w:cs="Arial"/>
          <w:b/>
          <w:bCs/>
          <w:sz w:val="24"/>
          <w:szCs w:val="24"/>
        </w:rPr>
        <w:t>Tomada de decisão:</w:t>
      </w:r>
      <w:r w:rsidRPr="00E36A23">
        <w:rPr>
          <w:rFonts w:ascii="Arial" w:eastAsia="Times New Roman" w:hAnsi="Arial" w:cs="Arial"/>
          <w:sz w:val="24"/>
          <w:szCs w:val="24"/>
        </w:rPr>
        <w:t xml:space="preserve"> Permite que a Administração Pública tome decisões mais assertivas e estratégicas.</w:t>
      </w:r>
    </w:p>
    <w:p w14:paraId="24238417" w14:textId="77777777" w:rsidR="00F42087" w:rsidRPr="00E36A23" w:rsidRDefault="00F42087"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Nesse contexto, a curva ABC emerge como uma ferramenta estratégica para a identificação dos itens de maior relevância em uma licitação. Ao classificar os itens por ordem de importância, a curva ABC permite que a Administração Pública concentre seus esforços na análise dos itens que possuem maior impacto financeiro e técnico sobre o contrato.</w:t>
      </w:r>
    </w:p>
    <w:p w14:paraId="2FFD6AB7" w14:textId="2DEAF4FD" w:rsidR="00640373" w:rsidRPr="00E36A23"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lastRenderedPageBreak/>
        <w:t>A análise de propostas em licitações públicas constitui um dos pilares da gestão pública eficiente e transparente. A busca por propostas competitivas e que garantam a entrega de bens e serviços de qualidade exige um rigoroso processo de avaliação, no qual a análise da exequibilidade das propostas se destaca como um dos elementos cruciais.</w:t>
      </w:r>
    </w:p>
    <w:p w14:paraId="29C54B47" w14:textId="77777777" w:rsidR="0071401E" w:rsidRPr="00E36A23" w:rsidRDefault="0071401E" w:rsidP="00F42087">
      <w:pPr>
        <w:spacing w:before="100" w:beforeAutospacing="1" w:after="100" w:afterAutospacing="1" w:line="360" w:lineRule="auto"/>
        <w:ind w:firstLine="1134"/>
        <w:jc w:val="both"/>
        <w:rPr>
          <w:rFonts w:ascii="Arial" w:eastAsia="Times New Roman" w:hAnsi="Arial" w:cs="Arial"/>
          <w:sz w:val="24"/>
          <w:szCs w:val="24"/>
        </w:rPr>
      </w:pPr>
    </w:p>
    <w:p w14:paraId="6F2B9502" w14:textId="124F71CA" w:rsidR="00F42087" w:rsidRPr="00E36A23" w:rsidRDefault="00F42087" w:rsidP="00F42087">
      <w:pPr>
        <w:spacing w:before="100" w:beforeAutospacing="1" w:after="100" w:afterAutospacing="1" w:line="360" w:lineRule="auto"/>
        <w:jc w:val="both"/>
        <w:rPr>
          <w:rFonts w:ascii="Arial" w:eastAsia="Times New Roman" w:hAnsi="Arial" w:cs="Arial"/>
          <w:b/>
          <w:sz w:val="24"/>
          <w:szCs w:val="24"/>
        </w:rPr>
      </w:pPr>
      <w:r w:rsidRPr="00E36A23">
        <w:rPr>
          <w:rFonts w:ascii="Arial" w:eastAsia="Times New Roman" w:hAnsi="Arial" w:cs="Arial"/>
          <w:b/>
          <w:sz w:val="24"/>
          <w:szCs w:val="24"/>
        </w:rPr>
        <w:t>Comprovação de exequibilidade</w:t>
      </w:r>
    </w:p>
    <w:p w14:paraId="122E0B53" w14:textId="5527AB44" w:rsidR="00F424BB" w:rsidRPr="00E36A23" w:rsidRDefault="00F424BB"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Entendemos que a</w:t>
      </w:r>
      <w:r w:rsidR="00640373" w:rsidRPr="00E36A23">
        <w:rPr>
          <w:rFonts w:ascii="Arial" w:eastAsia="Times New Roman" w:hAnsi="Arial" w:cs="Arial"/>
          <w:sz w:val="24"/>
          <w:szCs w:val="24"/>
        </w:rPr>
        <w:t xml:space="preserve"> mera apresentação de </w:t>
      </w:r>
      <w:r w:rsidRPr="00E36A23">
        <w:rPr>
          <w:rFonts w:ascii="Arial" w:eastAsia="Times New Roman" w:hAnsi="Arial" w:cs="Arial"/>
          <w:sz w:val="24"/>
          <w:szCs w:val="24"/>
        </w:rPr>
        <w:t xml:space="preserve">uma proposta comercial assinada </w:t>
      </w:r>
      <w:r w:rsidR="000E287C" w:rsidRPr="00E36A23">
        <w:rPr>
          <w:rFonts w:ascii="Arial" w:eastAsia="Times New Roman" w:hAnsi="Arial" w:cs="Arial"/>
          <w:sz w:val="24"/>
          <w:szCs w:val="24"/>
        </w:rPr>
        <w:t xml:space="preserve">ou </w:t>
      </w:r>
      <w:r w:rsidR="00640373" w:rsidRPr="00E36A23">
        <w:rPr>
          <w:rFonts w:ascii="Arial" w:eastAsia="Times New Roman" w:hAnsi="Arial" w:cs="Arial"/>
          <w:sz w:val="24"/>
          <w:szCs w:val="24"/>
        </w:rPr>
        <w:t xml:space="preserve">uma declaração de exequibilidade por parte do licitante, sem a devida comprovação, não é suficiente para garantir a confiabilidade da proposta. </w:t>
      </w:r>
    </w:p>
    <w:p w14:paraId="18FF17CC" w14:textId="6933391A" w:rsidR="00F424BB" w:rsidRPr="00E36A23" w:rsidRDefault="00F424BB"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 xml:space="preserve">Ainda, é fundamental ressaltar que as licitantes serão responsabilizadas administrativas pelas infrações de apresentar declaração ou documentação falsa exigida para o certame ou prestar declaração falsa durante a licitação a execução do contrato, assim como comportar-se de modo inidôneo ou cometer fraude de qualquer natureza, nos termos do instrumento convocatório, podendo este Tribunal de Contas aplicar às licitantes as sanções de advertência, multa, impedimento de licitar e contratar e declaração de inidoneidade para licitar e contratar com a Administração Pública, sem prejuízo </w:t>
      </w:r>
      <w:r w:rsidR="000F6DD3" w:rsidRPr="00E36A23">
        <w:rPr>
          <w:rFonts w:ascii="Arial" w:eastAsia="Times New Roman" w:hAnsi="Arial" w:cs="Arial"/>
          <w:sz w:val="24"/>
          <w:szCs w:val="24"/>
        </w:rPr>
        <w:t>das responsabilidades civis e criminais.</w:t>
      </w:r>
    </w:p>
    <w:p w14:paraId="4F1C3AAB" w14:textId="1C8A2BFF" w:rsidR="00640373" w:rsidRPr="00E36A23"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 xml:space="preserve">É </w:t>
      </w:r>
      <w:r w:rsidR="00DC4346" w:rsidRPr="00E36A23">
        <w:rPr>
          <w:rFonts w:ascii="Arial" w:eastAsia="Times New Roman" w:hAnsi="Arial" w:cs="Arial"/>
          <w:sz w:val="24"/>
          <w:szCs w:val="24"/>
        </w:rPr>
        <w:t>imprescindível</w:t>
      </w:r>
      <w:r w:rsidRPr="00E36A23">
        <w:rPr>
          <w:rFonts w:ascii="Arial" w:eastAsia="Times New Roman" w:hAnsi="Arial" w:cs="Arial"/>
          <w:sz w:val="24"/>
          <w:szCs w:val="24"/>
        </w:rPr>
        <w:t xml:space="preserve"> que a Administração Pública exija a apresentação de documentos comprobatórios que atestem a capacidade do licitante em cumprir as obrigações assumidas no contrato, especialmente em relação aos itens classificados como "A" na curva ABC</w:t>
      </w:r>
      <w:r w:rsidR="00F42087" w:rsidRPr="00E36A23">
        <w:rPr>
          <w:rFonts w:ascii="Arial" w:eastAsia="Times New Roman" w:hAnsi="Arial" w:cs="Arial"/>
          <w:sz w:val="24"/>
          <w:szCs w:val="24"/>
        </w:rPr>
        <w:t xml:space="preserve"> referente ao fornecimento de materiais</w:t>
      </w:r>
      <w:r w:rsidR="00C07F3B" w:rsidRPr="00E36A23">
        <w:rPr>
          <w:rFonts w:ascii="Arial" w:eastAsia="Times New Roman" w:hAnsi="Arial" w:cs="Arial"/>
          <w:sz w:val="24"/>
          <w:szCs w:val="24"/>
        </w:rPr>
        <w:t xml:space="preserve"> e serviços especializados</w:t>
      </w:r>
      <w:r w:rsidRPr="00E36A23">
        <w:rPr>
          <w:rFonts w:ascii="Arial" w:eastAsia="Times New Roman" w:hAnsi="Arial" w:cs="Arial"/>
          <w:sz w:val="24"/>
          <w:szCs w:val="24"/>
        </w:rPr>
        <w:t>.</w:t>
      </w:r>
    </w:p>
    <w:p w14:paraId="09037FD3" w14:textId="77777777" w:rsidR="00640373" w:rsidRPr="00E36A23"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 xml:space="preserve">A exigência de notas fiscais, cotações e outros instrumentos efetivos para comprovar a exequibilidade dos itens mais relevantes da curva ABC representa um avanço significativo na busca por maior transparência e eficiência nos processos licitatórios. Ao exigir a apresentação de documentos concretos, a Administração Pública garante que a proposta apresentada pelo licitante esteja fundamentada em </w:t>
      </w:r>
      <w:r w:rsidRPr="00E36A23">
        <w:rPr>
          <w:rFonts w:ascii="Arial" w:eastAsia="Times New Roman" w:hAnsi="Arial" w:cs="Arial"/>
          <w:sz w:val="24"/>
          <w:szCs w:val="24"/>
        </w:rPr>
        <w:lastRenderedPageBreak/>
        <w:t>dados reais e confiáveis, reduzindo o risco de fraudes e de contratações que não atendam às necessidades da Administração.</w:t>
      </w:r>
    </w:p>
    <w:p w14:paraId="664B82FD" w14:textId="77777777" w:rsidR="00640373" w:rsidRPr="00E36A23"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Além disso, a exigência de comprovação da exequibilidade contribui para a promoção da competitividade entre os licitantes, incentivando-os a apresentar propostas mais realistas e consistentes. Ao saber que suas propostas serão submetidas a uma análise rigorosa, os licitantes serão mais cuidadosos na elaboração de suas propostas, evitando a apresentação de valores irreais ou de propostas que não possam ser cumpridas.</w:t>
      </w:r>
    </w:p>
    <w:p w14:paraId="79ED0CBB" w14:textId="2EF3C8A2" w:rsidR="00640373" w:rsidRPr="00E36A23" w:rsidRDefault="00640373" w:rsidP="00F42087">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 xml:space="preserve">A comprovação da exequibilidade </w:t>
      </w:r>
      <w:r w:rsidR="00F42087" w:rsidRPr="00E36A23">
        <w:rPr>
          <w:rFonts w:ascii="Arial" w:eastAsia="Times New Roman" w:hAnsi="Arial" w:cs="Arial"/>
          <w:sz w:val="24"/>
          <w:szCs w:val="24"/>
        </w:rPr>
        <w:t>desses itens</w:t>
      </w:r>
      <w:r w:rsidRPr="00E36A23">
        <w:rPr>
          <w:rFonts w:ascii="Arial" w:eastAsia="Times New Roman" w:hAnsi="Arial" w:cs="Arial"/>
          <w:sz w:val="24"/>
          <w:szCs w:val="24"/>
        </w:rPr>
        <w:t xml:space="preserve"> também contribui para a segurança jurídica do processo licitatório. Ao exigir a apresentação de documentos comprobatórios, a Administração Pública fortalece a sua posição em caso de questionamentos judiciais, uma vez que estará respaldada por provas concretas da idoneidade da proposta escolhida.</w:t>
      </w:r>
    </w:p>
    <w:p w14:paraId="1B41EE62" w14:textId="7D0E2E48" w:rsidR="000F6DD3" w:rsidRPr="00E36A23" w:rsidRDefault="000F6DD3" w:rsidP="000E287C">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Na planilha anexa</w:t>
      </w:r>
      <w:r w:rsidR="000E287C" w:rsidRPr="00E36A23">
        <w:rPr>
          <w:rFonts w:ascii="Arial" w:eastAsia="Times New Roman" w:hAnsi="Arial" w:cs="Arial"/>
          <w:sz w:val="24"/>
          <w:szCs w:val="24"/>
        </w:rPr>
        <w:t>, reproduzida neste texto</w:t>
      </w:r>
      <w:r w:rsidRPr="00E36A23">
        <w:rPr>
          <w:rFonts w:ascii="Arial" w:eastAsia="Times New Roman" w:hAnsi="Arial" w:cs="Arial"/>
          <w:sz w:val="24"/>
          <w:szCs w:val="24"/>
        </w:rPr>
        <w:t xml:space="preserve">, empregamos os percentuais empregados no âmbito do Tribunal de Contas da União, sendo que os itens mais importantes (faixa “A”) representa cerca de 80% do valor total do orçamento e cerca de 20% do número total de itens, a faixa “B” abrange os itens referentes a cerca de 15% do valor total e a faixa “C” contém apenas cerca de 5% do valor total orçado (itens menos importantes). </w:t>
      </w:r>
    </w:p>
    <w:p w14:paraId="17DEEFFB" w14:textId="310A333B" w:rsidR="00EB1D3B" w:rsidRPr="00E36A23" w:rsidRDefault="00EB1D3B" w:rsidP="000E287C">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 xml:space="preserve">Foram </w:t>
      </w:r>
      <w:r w:rsidR="000E287C" w:rsidRPr="00E36A23">
        <w:rPr>
          <w:rFonts w:ascii="Arial" w:eastAsia="Times New Roman" w:hAnsi="Arial" w:cs="Arial"/>
          <w:sz w:val="24"/>
          <w:szCs w:val="24"/>
        </w:rPr>
        <w:t>selecionados</w:t>
      </w:r>
      <w:r w:rsidRPr="00E36A23">
        <w:rPr>
          <w:rFonts w:ascii="Arial" w:eastAsia="Times New Roman" w:hAnsi="Arial" w:cs="Arial"/>
          <w:sz w:val="24"/>
          <w:szCs w:val="24"/>
        </w:rPr>
        <w:t xml:space="preserve"> os itens mais relevantes da planilha orçamentária estimativa pelo TCE-GO, que representam o percentual total de 79,</w:t>
      </w:r>
      <w:r w:rsidR="00E36A23" w:rsidRPr="00E36A23">
        <w:rPr>
          <w:rFonts w:ascii="Arial" w:eastAsia="Times New Roman" w:hAnsi="Arial" w:cs="Arial"/>
          <w:sz w:val="24"/>
          <w:szCs w:val="24"/>
        </w:rPr>
        <w:t>18</w:t>
      </w:r>
      <w:r w:rsidRPr="00E36A23">
        <w:rPr>
          <w:rFonts w:ascii="Arial" w:eastAsia="Times New Roman" w:hAnsi="Arial" w:cs="Arial"/>
          <w:sz w:val="24"/>
          <w:szCs w:val="24"/>
        </w:rPr>
        <w:t>% do valor total estimado para o fornecimento de materiais</w:t>
      </w:r>
      <w:r w:rsidR="00C07F3B" w:rsidRPr="00E36A23">
        <w:rPr>
          <w:rFonts w:ascii="Arial" w:eastAsia="Times New Roman" w:hAnsi="Arial" w:cs="Arial"/>
          <w:sz w:val="24"/>
          <w:szCs w:val="24"/>
        </w:rPr>
        <w:t xml:space="preserve"> e serviços especializados</w:t>
      </w:r>
      <w:r w:rsidRPr="00E36A23">
        <w:rPr>
          <w:rFonts w:ascii="Arial" w:eastAsia="Times New Roman" w:hAnsi="Arial" w:cs="Arial"/>
          <w:sz w:val="24"/>
          <w:szCs w:val="24"/>
        </w:rPr>
        <w:t>:</w:t>
      </w:r>
    </w:p>
    <w:p w14:paraId="2F0F4226" w14:textId="77777777" w:rsidR="00DC4346" w:rsidRPr="00E36A23" w:rsidRDefault="00DC4346" w:rsidP="00DC4346">
      <w:pPr>
        <w:spacing w:before="100" w:beforeAutospacing="1" w:after="100" w:afterAutospacing="1" w:line="360" w:lineRule="auto"/>
        <w:jc w:val="both"/>
        <w:rPr>
          <w:rFonts w:ascii="Arial" w:eastAsia="Times New Roman" w:hAnsi="Arial" w:cs="Arial"/>
          <w:sz w:val="24"/>
          <w:szCs w:val="24"/>
        </w:rPr>
      </w:pPr>
    </w:p>
    <w:p w14:paraId="23A69A3B" w14:textId="77777777" w:rsidR="00DC4346" w:rsidRPr="00E36A23" w:rsidRDefault="00DC4346" w:rsidP="00DC4346">
      <w:pPr>
        <w:spacing w:before="100" w:beforeAutospacing="1" w:after="100" w:afterAutospacing="1" w:line="360" w:lineRule="auto"/>
        <w:jc w:val="both"/>
        <w:rPr>
          <w:rFonts w:ascii="Arial" w:eastAsia="Times New Roman" w:hAnsi="Arial" w:cs="Arial"/>
          <w:sz w:val="24"/>
          <w:szCs w:val="24"/>
        </w:rPr>
      </w:pPr>
    </w:p>
    <w:p w14:paraId="0B63E143" w14:textId="77777777" w:rsidR="00DC4346" w:rsidRPr="00E36A23" w:rsidRDefault="00DC4346" w:rsidP="00DC4346">
      <w:pPr>
        <w:spacing w:before="100" w:beforeAutospacing="1" w:after="100" w:afterAutospacing="1" w:line="360" w:lineRule="auto"/>
        <w:jc w:val="both"/>
        <w:rPr>
          <w:rFonts w:ascii="Arial" w:eastAsia="Times New Roman" w:hAnsi="Arial" w:cs="Arial"/>
          <w:sz w:val="24"/>
          <w:szCs w:val="24"/>
        </w:rPr>
      </w:pPr>
    </w:p>
    <w:p w14:paraId="632A5162" w14:textId="77777777" w:rsidR="00DC4346" w:rsidRPr="00E36A23" w:rsidRDefault="00DC4346" w:rsidP="00DC4346">
      <w:pPr>
        <w:spacing w:before="100" w:beforeAutospacing="1" w:after="100" w:afterAutospacing="1" w:line="360" w:lineRule="auto"/>
        <w:jc w:val="both"/>
        <w:rPr>
          <w:rFonts w:ascii="Arial" w:eastAsia="Times New Roman" w:hAnsi="Arial" w:cs="Arial"/>
          <w:sz w:val="24"/>
          <w:szCs w:val="24"/>
        </w:rPr>
      </w:pPr>
    </w:p>
    <w:p w14:paraId="587D519F" w14:textId="11C58FCC" w:rsidR="00DC4346" w:rsidRPr="00E36A23" w:rsidRDefault="00DC4346" w:rsidP="00DC4346">
      <w:pPr>
        <w:spacing w:before="100" w:beforeAutospacing="1" w:after="100" w:afterAutospacing="1" w:line="360" w:lineRule="auto"/>
        <w:jc w:val="both"/>
        <w:rPr>
          <w:rFonts w:ascii="Arial" w:eastAsia="Times New Roman" w:hAnsi="Arial" w:cs="Arial"/>
          <w:sz w:val="24"/>
          <w:szCs w:val="24"/>
        </w:rPr>
        <w:sectPr w:rsidR="00DC4346" w:rsidRPr="00E36A23" w:rsidSect="00640373">
          <w:headerReference w:type="default" r:id="rId8"/>
          <w:footerReference w:type="default" r:id="rId9"/>
          <w:pgSz w:w="11906" w:h="16838"/>
          <w:pgMar w:top="1418" w:right="1418" w:bottom="1418" w:left="1418" w:header="397" w:footer="397" w:gutter="0"/>
          <w:cols w:space="708"/>
          <w:docGrid w:linePitch="360"/>
        </w:sectPr>
      </w:pPr>
    </w:p>
    <w:tbl>
      <w:tblPr>
        <w:tblW w:w="0" w:type="auto"/>
        <w:tblCellMar>
          <w:left w:w="70" w:type="dxa"/>
          <w:right w:w="70" w:type="dxa"/>
        </w:tblCellMar>
        <w:tblLook w:val="04A0" w:firstRow="1" w:lastRow="0" w:firstColumn="1" w:lastColumn="0" w:noHBand="0" w:noVBand="1"/>
      </w:tblPr>
      <w:tblGrid>
        <w:gridCol w:w="508"/>
        <w:gridCol w:w="1870"/>
        <w:gridCol w:w="367"/>
        <w:gridCol w:w="1265"/>
        <w:gridCol w:w="1645"/>
        <w:gridCol w:w="1645"/>
        <w:gridCol w:w="1582"/>
        <w:gridCol w:w="1081"/>
        <w:gridCol w:w="1552"/>
        <w:gridCol w:w="1396"/>
        <w:gridCol w:w="1081"/>
      </w:tblGrid>
      <w:tr w:rsidR="00DA7AFE" w:rsidRPr="00DA7AFE" w14:paraId="7A59E12E" w14:textId="77777777" w:rsidTr="00DA7AFE">
        <w:trPr>
          <w:trHeight w:val="945"/>
        </w:trPr>
        <w:tc>
          <w:tcPr>
            <w:tcW w:w="0" w:type="auto"/>
            <w:tcBorders>
              <w:top w:val="single" w:sz="4" w:space="0" w:color="auto"/>
              <w:left w:val="single" w:sz="4" w:space="0" w:color="auto"/>
              <w:bottom w:val="single" w:sz="4" w:space="0" w:color="auto"/>
              <w:right w:val="single" w:sz="4" w:space="0" w:color="auto"/>
            </w:tcBorders>
            <w:shd w:val="clear" w:color="000000" w:fill="9BC2E6"/>
            <w:vAlign w:val="center"/>
            <w:hideMark/>
          </w:tcPr>
          <w:p w14:paraId="7A7D94C7" w14:textId="77777777" w:rsidR="00DA7AFE" w:rsidRPr="00DA7AFE" w:rsidRDefault="00DA7AFE" w:rsidP="00DA7AFE">
            <w:pPr>
              <w:spacing w:after="0" w:line="240" w:lineRule="auto"/>
              <w:jc w:val="center"/>
              <w:rPr>
                <w:rFonts w:ascii="Calibri" w:eastAsia="Times New Roman" w:hAnsi="Calibri" w:cs="Calibri"/>
                <w:b/>
                <w:bCs/>
              </w:rPr>
            </w:pPr>
            <w:r w:rsidRPr="00DA7AFE">
              <w:rPr>
                <w:rFonts w:ascii="Calibri" w:eastAsia="Times New Roman" w:hAnsi="Calibri" w:cs="Calibri"/>
                <w:b/>
                <w:bCs/>
              </w:rPr>
              <w:lastRenderedPageBreak/>
              <w:t>ITEM</w:t>
            </w:r>
          </w:p>
        </w:tc>
        <w:tc>
          <w:tcPr>
            <w:tcW w:w="0" w:type="auto"/>
            <w:tcBorders>
              <w:top w:val="single" w:sz="4" w:space="0" w:color="auto"/>
              <w:left w:val="single" w:sz="4" w:space="0" w:color="auto"/>
              <w:bottom w:val="single" w:sz="4" w:space="0" w:color="auto"/>
              <w:right w:val="single" w:sz="4" w:space="0" w:color="auto"/>
            </w:tcBorders>
            <w:shd w:val="clear" w:color="000000" w:fill="9BC2E6"/>
            <w:vAlign w:val="center"/>
            <w:hideMark/>
          </w:tcPr>
          <w:p w14:paraId="3EC18E07" w14:textId="77777777" w:rsidR="00DA7AFE" w:rsidRPr="00DA7AFE" w:rsidRDefault="00DA7AFE" w:rsidP="00DA7AFE">
            <w:pPr>
              <w:spacing w:after="0" w:line="240" w:lineRule="auto"/>
              <w:jc w:val="center"/>
              <w:rPr>
                <w:rFonts w:ascii="Calibri" w:eastAsia="Times New Roman" w:hAnsi="Calibri" w:cs="Calibri"/>
                <w:b/>
                <w:bCs/>
              </w:rPr>
            </w:pPr>
            <w:r w:rsidRPr="00DA7AFE">
              <w:rPr>
                <w:rFonts w:ascii="Calibri" w:eastAsia="Times New Roman" w:hAnsi="Calibri" w:cs="Calibri"/>
                <w:b/>
                <w:bCs/>
              </w:rPr>
              <w:t>DESCRIÇÃO</w:t>
            </w:r>
          </w:p>
        </w:tc>
        <w:tc>
          <w:tcPr>
            <w:tcW w:w="0" w:type="auto"/>
            <w:tcBorders>
              <w:top w:val="single" w:sz="4" w:space="0" w:color="auto"/>
              <w:left w:val="single" w:sz="4" w:space="0" w:color="auto"/>
              <w:bottom w:val="single" w:sz="4" w:space="0" w:color="auto"/>
              <w:right w:val="single" w:sz="4" w:space="0" w:color="auto"/>
            </w:tcBorders>
            <w:shd w:val="clear" w:color="000000" w:fill="9BC2E6"/>
            <w:vAlign w:val="center"/>
            <w:hideMark/>
          </w:tcPr>
          <w:p w14:paraId="22728693" w14:textId="77777777" w:rsidR="00DA7AFE" w:rsidRPr="00DA7AFE" w:rsidRDefault="00DA7AFE" w:rsidP="00DA7AFE">
            <w:pPr>
              <w:spacing w:after="0" w:line="240" w:lineRule="auto"/>
              <w:jc w:val="center"/>
              <w:rPr>
                <w:rFonts w:ascii="Calibri" w:eastAsia="Times New Roman" w:hAnsi="Calibri" w:cs="Calibri"/>
                <w:b/>
                <w:bCs/>
              </w:rPr>
            </w:pPr>
            <w:r w:rsidRPr="00DA7AFE">
              <w:rPr>
                <w:rFonts w:ascii="Calibri" w:eastAsia="Times New Roman" w:hAnsi="Calibri" w:cs="Calibri"/>
                <w:b/>
                <w:bCs/>
              </w:rPr>
              <w:t>UN</w:t>
            </w:r>
          </w:p>
        </w:tc>
        <w:tc>
          <w:tcPr>
            <w:tcW w:w="0" w:type="auto"/>
            <w:tcBorders>
              <w:top w:val="single" w:sz="4" w:space="0" w:color="auto"/>
              <w:left w:val="single" w:sz="4" w:space="0" w:color="auto"/>
              <w:bottom w:val="single" w:sz="4" w:space="0" w:color="auto"/>
              <w:right w:val="single" w:sz="4" w:space="0" w:color="auto"/>
            </w:tcBorders>
            <w:shd w:val="clear" w:color="000000" w:fill="9BC2E6"/>
            <w:vAlign w:val="center"/>
            <w:hideMark/>
          </w:tcPr>
          <w:p w14:paraId="1EA17BB0" w14:textId="77777777" w:rsidR="00DA7AFE" w:rsidRPr="00DA7AFE" w:rsidRDefault="00DA7AFE" w:rsidP="00DA7AFE">
            <w:pPr>
              <w:spacing w:after="0" w:line="240" w:lineRule="auto"/>
              <w:jc w:val="center"/>
              <w:rPr>
                <w:rFonts w:ascii="Calibri" w:eastAsia="Times New Roman" w:hAnsi="Calibri" w:cs="Calibri"/>
                <w:b/>
                <w:bCs/>
              </w:rPr>
            </w:pPr>
            <w:r w:rsidRPr="00DA7AFE">
              <w:rPr>
                <w:rFonts w:ascii="Calibri" w:eastAsia="Times New Roman" w:hAnsi="Calibri" w:cs="Calibri"/>
                <w:b/>
                <w:bCs/>
              </w:rPr>
              <w:t>QUANTITATIVO ESTIMADO ANUAL</w:t>
            </w:r>
          </w:p>
        </w:tc>
        <w:tc>
          <w:tcPr>
            <w:tcW w:w="0" w:type="auto"/>
            <w:tcBorders>
              <w:top w:val="single" w:sz="4" w:space="0" w:color="auto"/>
              <w:left w:val="single" w:sz="4" w:space="0" w:color="auto"/>
              <w:bottom w:val="single" w:sz="4" w:space="0" w:color="auto"/>
              <w:right w:val="single" w:sz="4" w:space="0" w:color="auto"/>
            </w:tcBorders>
            <w:shd w:val="clear" w:color="000000" w:fill="9BC2E6"/>
            <w:vAlign w:val="center"/>
            <w:hideMark/>
          </w:tcPr>
          <w:p w14:paraId="3412D0F3" w14:textId="77777777" w:rsidR="00DA7AFE" w:rsidRPr="00DA7AFE" w:rsidRDefault="00DA7AFE" w:rsidP="00DA7AFE">
            <w:pPr>
              <w:spacing w:after="0" w:line="240" w:lineRule="auto"/>
              <w:jc w:val="center"/>
              <w:rPr>
                <w:rFonts w:ascii="Calibri" w:eastAsia="Times New Roman" w:hAnsi="Calibri" w:cs="Calibri"/>
                <w:b/>
                <w:bCs/>
              </w:rPr>
            </w:pPr>
            <w:r w:rsidRPr="00DA7AFE">
              <w:rPr>
                <w:rFonts w:ascii="Calibri" w:eastAsia="Times New Roman" w:hAnsi="Calibri" w:cs="Calibri"/>
                <w:b/>
                <w:bCs/>
              </w:rPr>
              <w:t>CUSTO UNITÁRIO ESTIMADO PELO TCE-GO (R$)</w:t>
            </w:r>
          </w:p>
        </w:tc>
        <w:tc>
          <w:tcPr>
            <w:tcW w:w="0" w:type="auto"/>
            <w:tcBorders>
              <w:top w:val="single" w:sz="4" w:space="0" w:color="auto"/>
              <w:left w:val="single" w:sz="4" w:space="0" w:color="auto"/>
              <w:bottom w:val="single" w:sz="4" w:space="0" w:color="auto"/>
              <w:right w:val="single" w:sz="4" w:space="0" w:color="auto"/>
            </w:tcBorders>
            <w:shd w:val="clear" w:color="000000" w:fill="9BC2E6"/>
            <w:vAlign w:val="center"/>
            <w:hideMark/>
          </w:tcPr>
          <w:p w14:paraId="50E6D517" w14:textId="77777777" w:rsidR="00DA7AFE" w:rsidRPr="00DA7AFE" w:rsidRDefault="00DA7AFE" w:rsidP="00DA7AFE">
            <w:pPr>
              <w:spacing w:after="0" w:line="240" w:lineRule="auto"/>
              <w:jc w:val="center"/>
              <w:rPr>
                <w:rFonts w:ascii="Calibri" w:eastAsia="Times New Roman" w:hAnsi="Calibri" w:cs="Calibri"/>
                <w:b/>
                <w:bCs/>
              </w:rPr>
            </w:pPr>
            <w:r w:rsidRPr="00DA7AFE">
              <w:rPr>
                <w:rFonts w:ascii="Calibri" w:eastAsia="Times New Roman" w:hAnsi="Calibri" w:cs="Calibri"/>
                <w:b/>
                <w:bCs/>
              </w:rPr>
              <w:t>CUSTO UNITÁRIO ESTIMADO PELO TCE-GO COM BDI(R$)</w:t>
            </w:r>
          </w:p>
        </w:tc>
        <w:tc>
          <w:tcPr>
            <w:tcW w:w="0" w:type="auto"/>
            <w:tcBorders>
              <w:top w:val="single" w:sz="4" w:space="0" w:color="auto"/>
              <w:left w:val="single" w:sz="4" w:space="0" w:color="auto"/>
              <w:bottom w:val="single" w:sz="4" w:space="0" w:color="auto"/>
              <w:right w:val="single" w:sz="4" w:space="0" w:color="auto"/>
            </w:tcBorders>
            <w:shd w:val="clear" w:color="000000" w:fill="9BC2E6"/>
            <w:vAlign w:val="center"/>
            <w:hideMark/>
          </w:tcPr>
          <w:p w14:paraId="4289B2E4" w14:textId="77777777" w:rsidR="00DA7AFE" w:rsidRPr="00DA7AFE" w:rsidRDefault="00DA7AFE" w:rsidP="00DA7AFE">
            <w:pPr>
              <w:spacing w:after="0" w:line="240" w:lineRule="auto"/>
              <w:jc w:val="center"/>
              <w:rPr>
                <w:rFonts w:ascii="Calibri" w:eastAsia="Times New Roman" w:hAnsi="Calibri" w:cs="Calibri"/>
                <w:b/>
                <w:bCs/>
              </w:rPr>
            </w:pPr>
            <w:r w:rsidRPr="00DA7AFE">
              <w:rPr>
                <w:rFonts w:ascii="Calibri" w:eastAsia="Times New Roman" w:hAnsi="Calibri" w:cs="Calibri"/>
                <w:b/>
                <w:bCs/>
              </w:rPr>
              <w:t>CUSTO TOTAL ESTIMADO TCE-GO</w:t>
            </w:r>
          </w:p>
        </w:tc>
        <w:tc>
          <w:tcPr>
            <w:tcW w:w="0" w:type="auto"/>
            <w:tcBorders>
              <w:top w:val="single" w:sz="4" w:space="0" w:color="auto"/>
              <w:left w:val="single" w:sz="4" w:space="0" w:color="auto"/>
              <w:bottom w:val="single" w:sz="4" w:space="0" w:color="auto"/>
              <w:right w:val="single" w:sz="4" w:space="0" w:color="auto"/>
            </w:tcBorders>
            <w:shd w:val="clear" w:color="000000" w:fill="9BC2E6"/>
            <w:vAlign w:val="center"/>
            <w:hideMark/>
          </w:tcPr>
          <w:p w14:paraId="37A09F02" w14:textId="77777777" w:rsidR="00DA7AFE" w:rsidRPr="00DA7AFE" w:rsidRDefault="00DA7AFE" w:rsidP="00DA7AFE">
            <w:pPr>
              <w:spacing w:after="0" w:line="240" w:lineRule="auto"/>
              <w:jc w:val="center"/>
              <w:rPr>
                <w:rFonts w:ascii="Calibri" w:eastAsia="Times New Roman" w:hAnsi="Calibri" w:cs="Calibri"/>
                <w:b/>
                <w:bCs/>
              </w:rPr>
            </w:pPr>
            <w:r w:rsidRPr="00DA7AFE">
              <w:rPr>
                <w:rFonts w:ascii="Calibri" w:eastAsia="Times New Roman" w:hAnsi="Calibri" w:cs="Calibri"/>
                <w:b/>
                <w:bCs/>
              </w:rPr>
              <w:t>PERCENTUAL CURVA ABC</w:t>
            </w:r>
          </w:p>
        </w:tc>
        <w:tc>
          <w:tcPr>
            <w:tcW w:w="0" w:type="auto"/>
            <w:tcBorders>
              <w:top w:val="single" w:sz="4" w:space="0" w:color="auto"/>
              <w:left w:val="single" w:sz="4" w:space="0" w:color="auto"/>
              <w:bottom w:val="single" w:sz="4" w:space="0" w:color="auto"/>
              <w:right w:val="single" w:sz="4" w:space="0" w:color="auto"/>
            </w:tcBorders>
            <w:shd w:val="clear" w:color="000000" w:fill="9BC2E6"/>
            <w:vAlign w:val="center"/>
            <w:hideMark/>
          </w:tcPr>
          <w:p w14:paraId="2800E2D3" w14:textId="77777777" w:rsidR="00DA7AFE" w:rsidRPr="00DA7AFE" w:rsidRDefault="00DA7AFE" w:rsidP="00DA7AFE">
            <w:pPr>
              <w:spacing w:after="0" w:line="240" w:lineRule="auto"/>
              <w:jc w:val="center"/>
              <w:rPr>
                <w:rFonts w:ascii="Calibri" w:eastAsia="Times New Roman" w:hAnsi="Calibri" w:cs="Calibri"/>
                <w:b/>
                <w:bCs/>
              </w:rPr>
            </w:pPr>
            <w:r w:rsidRPr="00DA7AFE">
              <w:rPr>
                <w:rFonts w:ascii="Calibri" w:eastAsia="Times New Roman" w:hAnsi="Calibri" w:cs="Calibri"/>
                <w:b/>
                <w:bCs/>
              </w:rPr>
              <w:t>CUSTO UNITÁRIO ESTIMADO PELA LICITANTE (R$)</w:t>
            </w:r>
          </w:p>
        </w:tc>
        <w:tc>
          <w:tcPr>
            <w:tcW w:w="0" w:type="auto"/>
            <w:tcBorders>
              <w:top w:val="single" w:sz="4" w:space="0" w:color="auto"/>
              <w:left w:val="single" w:sz="4" w:space="0" w:color="auto"/>
              <w:bottom w:val="single" w:sz="4" w:space="0" w:color="auto"/>
              <w:right w:val="single" w:sz="4" w:space="0" w:color="auto"/>
            </w:tcBorders>
            <w:shd w:val="clear" w:color="000000" w:fill="9BC2E6"/>
            <w:vAlign w:val="center"/>
            <w:hideMark/>
          </w:tcPr>
          <w:p w14:paraId="450A7CFD" w14:textId="77777777" w:rsidR="00DA7AFE" w:rsidRPr="00DA7AFE" w:rsidRDefault="00DA7AFE" w:rsidP="00DA7AFE">
            <w:pPr>
              <w:spacing w:after="0" w:line="240" w:lineRule="auto"/>
              <w:jc w:val="center"/>
              <w:rPr>
                <w:rFonts w:ascii="Calibri" w:eastAsia="Times New Roman" w:hAnsi="Calibri" w:cs="Calibri"/>
                <w:b/>
                <w:bCs/>
              </w:rPr>
            </w:pPr>
            <w:r w:rsidRPr="00DA7AFE">
              <w:rPr>
                <w:rFonts w:ascii="Calibri" w:eastAsia="Times New Roman" w:hAnsi="Calibri" w:cs="Calibri"/>
                <w:b/>
                <w:bCs/>
              </w:rPr>
              <w:t>CUSTO TOTAL ESTIMADO PELA LICITANTE (R$)</w:t>
            </w:r>
          </w:p>
        </w:tc>
        <w:tc>
          <w:tcPr>
            <w:tcW w:w="0" w:type="auto"/>
            <w:tcBorders>
              <w:top w:val="single" w:sz="4" w:space="0" w:color="auto"/>
              <w:left w:val="single" w:sz="4" w:space="0" w:color="auto"/>
              <w:bottom w:val="single" w:sz="4" w:space="0" w:color="auto"/>
              <w:right w:val="single" w:sz="4" w:space="0" w:color="auto"/>
            </w:tcBorders>
            <w:shd w:val="clear" w:color="000000" w:fill="9BC2E6"/>
            <w:vAlign w:val="center"/>
            <w:hideMark/>
          </w:tcPr>
          <w:p w14:paraId="3E69C290" w14:textId="77777777" w:rsidR="00DA7AFE" w:rsidRPr="00DA7AFE" w:rsidRDefault="00DA7AFE" w:rsidP="00DA7AFE">
            <w:pPr>
              <w:spacing w:after="0" w:line="240" w:lineRule="auto"/>
              <w:jc w:val="center"/>
              <w:rPr>
                <w:rFonts w:ascii="Calibri" w:eastAsia="Times New Roman" w:hAnsi="Calibri" w:cs="Calibri"/>
                <w:b/>
                <w:bCs/>
              </w:rPr>
            </w:pPr>
            <w:r w:rsidRPr="00DA7AFE">
              <w:rPr>
                <w:rFonts w:ascii="Calibri" w:eastAsia="Times New Roman" w:hAnsi="Calibri" w:cs="Calibri"/>
                <w:b/>
                <w:bCs/>
              </w:rPr>
              <w:t>PERCENTUAL DESCONTO</w:t>
            </w:r>
          </w:p>
        </w:tc>
      </w:tr>
      <w:tr w:rsidR="00DA7AFE" w:rsidRPr="00DA7AFE" w14:paraId="652811E9" w14:textId="77777777" w:rsidTr="00DA7AF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EE4F7"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5.17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D2B65D" w14:textId="77777777" w:rsidR="00DA7AFE" w:rsidRPr="00DA7AFE" w:rsidRDefault="00DA7AFE" w:rsidP="00DA7AFE">
            <w:pPr>
              <w:spacing w:after="0" w:line="240" w:lineRule="auto"/>
              <w:rPr>
                <w:rFonts w:ascii="Calibri" w:eastAsia="Times New Roman" w:hAnsi="Calibri" w:cs="Calibri"/>
                <w:sz w:val="20"/>
                <w:szCs w:val="20"/>
              </w:rPr>
            </w:pPr>
            <w:r w:rsidRPr="00DA7AFE">
              <w:rPr>
                <w:rFonts w:ascii="Calibri" w:eastAsia="Times New Roman" w:hAnsi="Calibri" w:cs="Calibri"/>
                <w:sz w:val="20"/>
                <w:szCs w:val="20"/>
              </w:rPr>
              <w:t>Tensor correia ventilação DC9/DC16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AF770" w14:textId="77777777" w:rsidR="00DA7AFE" w:rsidRPr="00DA7AFE" w:rsidRDefault="00DA7AFE" w:rsidP="00DA7AFE">
            <w:pPr>
              <w:spacing w:after="0" w:line="240" w:lineRule="auto"/>
              <w:jc w:val="center"/>
              <w:rPr>
                <w:rFonts w:ascii="Calibri" w:eastAsia="Times New Roman" w:hAnsi="Calibri" w:cs="Calibri"/>
                <w:sz w:val="20"/>
                <w:szCs w:val="20"/>
              </w:rPr>
            </w:pPr>
            <w:proofErr w:type="spellStart"/>
            <w:r w:rsidRPr="00DA7AFE">
              <w:rPr>
                <w:rFonts w:ascii="Calibri" w:eastAsia="Times New Roman" w:hAnsi="Calibri" w:cs="Calibri"/>
                <w:sz w:val="20"/>
                <w:szCs w:val="20"/>
              </w:rPr>
              <w:t>un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33BA9"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4902B"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5.765,59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BB04B"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7.765,90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6EB95" w14:textId="77777777" w:rsidR="00DA7AFE" w:rsidRPr="00DA7AFE" w:rsidRDefault="00DA7AFE" w:rsidP="00DA7AFE">
            <w:pPr>
              <w:spacing w:after="0" w:line="240" w:lineRule="auto"/>
              <w:jc w:val="right"/>
              <w:rPr>
                <w:rFonts w:ascii="Calibri" w:eastAsia="Times New Roman" w:hAnsi="Calibri" w:cs="Calibri"/>
                <w:sz w:val="20"/>
                <w:szCs w:val="20"/>
              </w:rPr>
            </w:pPr>
            <w:r w:rsidRPr="00DA7AFE">
              <w:rPr>
                <w:rFonts w:ascii="Calibri" w:eastAsia="Times New Roman" w:hAnsi="Calibri" w:cs="Calibri"/>
                <w:sz w:val="20"/>
                <w:szCs w:val="20"/>
              </w:rPr>
              <w:t xml:space="preserve"> R$                 15.531,79 </w:t>
            </w:r>
          </w:p>
        </w:tc>
        <w:tc>
          <w:tcPr>
            <w:tcW w:w="0" w:type="auto"/>
            <w:tcBorders>
              <w:top w:val="single" w:sz="4" w:space="0" w:color="auto"/>
              <w:left w:val="single" w:sz="4" w:space="0" w:color="auto"/>
              <w:bottom w:val="single" w:sz="4" w:space="0" w:color="auto"/>
              <w:right w:val="single" w:sz="4" w:space="0" w:color="auto"/>
            </w:tcBorders>
            <w:shd w:val="clear" w:color="000000" w:fill="FCEEF1"/>
            <w:noWrap/>
            <w:vAlign w:val="bottom"/>
            <w:hideMark/>
          </w:tcPr>
          <w:p w14:paraId="61F8B820" w14:textId="77777777" w:rsidR="00DA7AFE" w:rsidRPr="00DA7AFE" w:rsidRDefault="00DA7AFE" w:rsidP="00DA7AFE">
            <w:pPr>
              <w:spacing w:after="0" w:line="240" w:lineRule="auto"/>
              <w:jc w:val="center"/>
              <w:rPr>
                <w:rFonts w:ascii="Calibri" w:eastAsia="Times New Roman" w:hAnsi="Calibri" w:cs="Calibri"/>
                <w:color w:val="000000"/>
              </w:rPr>
            </w:pPr>
            <w:r w:rsidRPr="00DA7AFE">
              <w:rPr>
                <w:rFonts w:ascii="Calibri" w:eastAsia="Times New Roman" w:hAnsi="Calibri" w:cs="Calibri"/>
                <w:color w:val="000000"/>
              </w:rPr>
              <w:t>6,15%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C8D5A"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300,00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7747C"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600,00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8C9B21" w14:textId="77777777" w:rsidR="00DA7AFE" w:rsidRPr="00DA7AFE" w:rsidRDefault="00DA7AFE" w:rsidP="00DA7AFE">
            <w:pPr>
              <w:spacing w:after="0" w:line="240" w:lineRule="auto"/>
              <w:jc w:val="right"/>
              <w:rPr>
                <w:rFonts w:ascii="Calibri" w:eastAsia="Times New Roman" w:hAnsi="Calibri" w:cs="Calibri"/>
              </w:rPr>
            </w:pPr>
            <w:r w:rsidRPr="00DA7AFE">
              <w:rPr>
                <w:rFonts w:ascii="Calibri" w:eastAsia="Times New Roman" w:hAnsi="Calibri" w:cs="Calibri"/>
              </w:rPr>
              <w:t>96,1%</w:t>
            </w:r>
          </w:p>
        </w:tc>
      </w:tr>
      <w:tr w:rsidR="00DA7AFE" w:rsidRPr="00DA7AFE" w14:paraId="4BC1AAB2" w14:textId="77777777" w:rsidTr="00DA7AF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3F814"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90E857" w14:textId="77777777" w:rsidR="00DA7AFE" w:rsidRPr="00DA7AFE" w:rsidRDefault="00DA7AFE" w:rsidP="00DA7AFE">
            <w:pPr>
              <w:spacing w:after="0" w:line="240" w:lineRule="auto"/>
              <w:rPr>
                <w:rFonts w:ascii="Calibri" w:eastAsia="Times New Roman" w:hAnsi="Calibri" w:cs="Calibri"/>
                <w:sz w:val="20"/>
                <w:szCs w:val="20"/>
              </w:rPr>
            </w:pPr>
            <w:r w:rsidRPr="00DA7AFE">
              <w:rPr>
                <w:rFonts w:ascii="Calibri" w:eastAsia="Times New Roman" w:hAnsi="Calibri" w:cs="Calibri"/>
                <w:sz w:val="20"/>
                <w:szCs w:val="20"/>
              </w:rPr>
              <w:t>Mangueira superior/inferior DC1643/2806-16TAG1-G2/18TAG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E199D" w14:textId="77777777" w:rsidR="00DA7AFE" w:rsidRPr="00DA7AFE" w:rsidRDefault="00DA7AFE" w:rsidP="00DA7AFE">
            <w:pPr>
              <w:spacing w:after="0" w:line="240" w:lineRule="auto"/>
              <w:jc w:val="center"/>
              <w:rPr>
                <w:rFonts w:ascii="Calibri" w:eastAsia="Times New Roman" w:hAnsi="Calibri" w:cs="Calibri"/>
                <w:sz w:val="20"/>
                <w:szCs w:val="20"/>
              </w:rPr>
            </w:pPr>
            <w:proofErr w:type="spellStart"/>
            <w:r w:rsidRPr="00DA7AFE">
              <w:rPr>
                <w:rFonts w:ascii="Calibri" w:eastAsia="Times New Roman" w:hAnsi="Calibri" w:cs="Calibri"/>
                <w:sz w:val="20"/>
                <w:szCs w:val="20"/>
              </w:rPr>
              <w:t>un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964DD"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4,00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F6167"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2.260,66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89491"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3.044,97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86AF4" w14:textId="77777777" w:rsidR="00DA7AFE" w:rsidRPr="00DA7AFE" w:rsidRDefault="00DA7AFE" w:rsidP="00DA7AFE">
            <w:pPr>
              <w:spacing w:after="0" w:line="240" w:lineRule="auto"/>
              <w:jc w:val="right"/>
              <w:rPr>
                <w:rFonts w:ascii="Calibri" w:eastAsia="Times New Roman" w:hAnsi="Calibri" w:cs="Calibri"/>
                <w:sz w:val="20"/>
                <w:szCs w:val="20"/>
              </w:rPr>
            </w:pPr>
            <w:r w:rsidRPr="00DA7AFE">
              <w:rPr>
                <w:rFonts w:ascii="Calibri" w:eastAsia="Times New Roman" w:hAnsi="Calibri" w:cs="Calibri"/>
                <w:sz w:val="20"/>
                <w:szCs w:val="20"/>
              </w:rPr>
              <w:t xml:space="preserve"> R$                 12.179,88 </w:t>
            </w:r>
          </w:p>
        </w:tc>
        <w:tc>
          <w:tcPr>
            <w:tcW w:w="0" w:type="auto"/>
            <w:tcBorders>
              <w:top w:val="single" w:sz="4" w:space="0" w:color="auto"/>
              <w:left w:val="single" w:sz="4" w:space="0" w:color="auto"/>
              <w:bottom w:val="single" w:sz="4" w:space="0" w:color="auto"/>
              <w:right w:val="single" w:sz="4" w:space="0" w:color="auto"/>
            </w:tcBorders>
            <w:shd w:val="clear" w:color="000000" w:fill="FCF3F6"/>
            <w:noWrap/>
            <w:vAlign w:val="bottom"/>
            <w:hideMark/>
          </w:tcPr>
          <w:p w14:paraId="0F6BB1D0" w14:textId="77777777" w:rsidR="00DA7AFE" w:rsidRPr="00DA7AFE" w:rsidRDefault="00DA7AFE" w:rsidP="00DA7AFE">
            <w:pPr>
              <w:spacing w:after="0" w:line="240" w:lineRule="auto"/>
              <w:jc w:val="center"/>
              <w:rPr>
                <w:rFonts w:ascii="Calibri" w:eastAsia="Times New Roman" w:hAnsi="Calibri" w:cs="Calibri"/>
                <w:color w:val="000000"/>
              </w:rPr>
            </w:pPr>
            <w:r w:rsidRPr="00DA7AFE">
              <w:rPr>
                <w:rFonts w:ascii="Calibri" w:eastAsia="Times New Roman" w:hAnsi="Calibri" w:cs="Calibri"/>
                <w:color w:val="000000"/>
              </w:rPr>
              <w:t>4,83%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1419F"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175,00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F366E"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700,00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27D276" w14:textId="77777777" w:rsidR="00DA7AFE" w:rsidRPr="00DA7AFE" w:rsidRDefault="00DA7AFE" w:rsidP="00DA7AFE">
            <w:pPr>
              <w:spacing w:after="0" w:line="240" w:lineRule="auto"/>
              <w:jc w:val="right"/>
              <w:rPr>
                <w:rFonts w:ascii="Calibri" w:eastAsia="Times New Roman" w:hAnsi="Calibri" w:cs="Calibri"/>
              </w:rPr>
            </w:pPr>
            <w:r w:rsidRPr="00DA7AFE">
              <w:rPr>
                <w:rFonts w:ascii="Calibri" w:eastAsia="Times New Roman" w:hAnsi="Calibri" w:cs="Calibri"/>
              </w:rPr>
              <w:t>94,3%</w:t>
            </w:r>
          </w:p>
        </w:tc>
      </w:tr>
      <w:tr w:rsidR="00DA7AFE" w:rsidRPr="00DA7AFE" w14:paraId="4697C0D8" w14:textId="77777777" w:rsidTr="00DA7AF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E407C"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CBC60" w14:textId="77777777" w:rsidR="00DA7AFE" w:rsidRPr="00DA7AFE" w:rsidRDefault="00DA7AFE" w:rsidP="00DA7AFE">
            <w:pPr>
              <w:spacing w:after="0" w:line="240" w:lineRule="auto"/>
              <w:rPr>
                <w:rFonts w:ascii="Calibri" w:eastAsia="Times New Roman" w:hAnsi="Calibri" w:cs="Calibri"/>
                <w:sz w:val="20"/>
                <w:szCs w:val="20"/>
              </w:rPr>
            </w:pPr>
            <w:r w:rsidRPr="00DA7AFE">
              <w:rPr>
                <w:rFonts w:ascii="Calibri" w:eastAsia="Times New Roman" w:hAnsi="Calibri" w:cs="Calibri"/>
                <w:sz w:val="20"/>
                <w:szCs w:val="20"/>
              </w:rPr>
              <w:t>Correia alternada/bomba de água DC972/DC1372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374DD" w14:textId="77777777" w:rsidR="00DA7AFE" w:rsidRPr="00DA7AFE" w:rsidRDefault="00DA7AFE" w:rsidP="00DA7AFE">
            <w:pPr>
              <w:spacing w:after="0" w:line="240" w:lineRule="auto"/>
              <w:jc w:val="center"/>
              <w:rPr>
                <w:rFonts w:ascii="Calibri" w:eastAsia="Times New Roman" w:hAnsi="Calibri" w:cs="Calibri"/>
                <w:sz w:val="20"/>
                <w:szCs w:val="20"/>
              </w:rPr>
            </w:pPr>
            <w:proofErr w:type="spellStart"/>
            <w:r w:rsidRPr="00DA7AFE">
              <w:rPr>
                <w:rFonts w:ascii="Calibri" w:eastAsia="Times New Roman" w:hAnsi="Calibri" w:cs="Calibri"/>
                <w:sz w:val="20"/>
                <w:szCs w:val="20"/>
              </w:rPr>
              <w:t>un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6E86C"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F6287"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3.275,20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3D972"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4.411,49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99C65" w14:textId="77777777" w:rsidR="00DA7AFE" w:rsidRPr="00DA7AFE" w:rsidRDefault="00DA7AFE" w:rsidP="00DA7AFE">
            <w:pPr>
              <w:spacing w:after="0" w:line="240" w:lineRule="auto"/>
              <w:jc w:val="right"/>
              <w:rPr>
                <w:rFonts w:ascii="Calibri" w:eastAsia="Times New Roman" w:hAnsi="Calibri" w:cs="Calibri"/>
                <w:sz w:val="20"/>
                <w:szCs w:val="20"/>
              </w:rPr>
            </w:pPr>
            <w:r w:rsidRPr="00DA7AFE">
              <w:rPr>
                <w:rFonts w:ascii="Calibri" w:eastAsia="Times New Roman" w:hAnsi="Calibri" w:cs="Calibri"/>
                <w:sz w:val="20"/>
                <w:szCs w:val="20"/>
              </w:rPr>
              <w:t xml:space="preserve"> R$                   8.822,99 </w:t>
            </w:r>
          </w:p>
        </w:tc>
        <w:tc>
          <w:tcPr>
            <w:tcW w:w="0" w:type="auto"/>
            <w:tcBorders>
              <w:top w:val="single" w:sz="4" w:space="0" w:color="auto"/>
              <w:left w:val="single" w:sz="4" w:space="0" w:color="auto"/>
              <w:bottom w:val="single" w:sz="4" w:space="0" w:color="auto"/>
              <w:right w:val="single" w:sz="4" w:space="0" w:color="auto"/>
            </w:tcBorders>
            <w:shd w:val="clear" w:color="000000" w:fill="FCF8FB"/>
            <w:noWrap/>
            <w:vAlign w:val="bottom"/>
            <w:hideMark/>
          </w:tcPr>
          <w:p w14:paraId="76E18815" w14:textId="77777777" w:rsidR="00DA7AFE" w:rsidRPr="00DA7AFE" w:rsidRDefault="00DA7AFE" w:rsidP="00DA7AFE">
            <w:pPr>
              <w:spacing w:after="0" w:line="240" w:lineRule="auto"/>
              <w:jc w:val="center"/>
              <w:rPr>
                <w:rFonts w:ascii="Calibri" w:eastAsia="Times New Roman" w:hAnsi="Calibri" w:cs="Calibri"/>
                <w:color w:val="000000"/>
              </w:rPr>
            </w:pPr>
            <w:r w:rsidRPr="00DA7AFE">
              <w:rPr>
                <w:rFonts w:ascii="Calibri" w:eastAsia="Times New Roman" w:hAnsi="Calibri" w:cs="Calibri"/>
                <w:color w:val="000000"/>
              </w:rPr>
              <w:t>3,50%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E9314"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225,00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D2D13"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450,00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46FE55" w14:textId="77777777" w:rsidR="00DA7AFE" w:rsidRPr="00DA7AFE" w:rsidRDefault="00DA7AFE" w:rsidP="00DA7AFE">
            <w:pPr>
              <w:spacing w:after="0" w:line="240" w:lineRule="auto"/>
              <w:jc w:val="right"/>
              <w:rPr>
                <w:rFonts w:ascii="Calibri" w:eastAsia="Times New Roman" w:hAnsi="Calibri" w:cs="Calibri"/>
              </w:rPr>
            </w:pPr>
            <w:r w:rsidRPr="00DA7AFE">
              <w:rPr>
                <w:rFonts w:ascii="Calibri" w:eastAsia="Times New Roman" w:hAnsi="Calibri" w:cs="Calibri"/>
              </w:rPr>
              <w:t>94,9%</w:t>
            </w:r>
          </w:p>
        </w:tc>
      </w:tr>
      <w:tr w:rsidR="00DA7AFE" w:rsidRPr="00DA7AFE" w14:paraId="0052264C" w14:textId="77777777" w:rsidTr="00DA7AF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E00A0"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FAD204" w14:textId="77777777" w:rsidR="00DA7AFE" w:rsidRPr="00DA7AFE" w:rsidRDefault="00DA7AFE" w:rsidP="00DA7AFE">
            <w:pPr>
              <w:spacing w:after="0" w:line="240" w:lineRule="auto"/>
              <w:rPr>
                <w:rFonts w:ascii="Calibri" w:eastAsia="Times New Roman" w:hAnsi="Calibri" w:cs="Calibri"/>
                <w:sz w:val="20"/>
                <w:szCs w:val="20"/>
              </w:rPr>
            </w:pPr>
            <w:r w:rsidRPr="00DA7AFE">
              <w:rPr>
                <w:rFonts w:ascii="Calibri" w:eastAsia="Times New Roman" w:hAnsi="Calibri" w:cs="Calibri"/>
                <w:sz w:val="20"/>
                <w:szCs w:val="20"/>
              </w:rPr>
              <w:t>Junta vedação para tampa válvula DC9/DC12/DC16(MM03)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7BFC4" w14:textId="77777777" w:rsidR="00DA7AFE" w:rsidRPr="00DA7AFE" w:rsidRDefault="00DA7AFE" w:rsidP="00DA7AFE">
            <w:pPr>
              <w:spacing w:after="0" w:line="240" w:lineRule="auto"/>
              <w:jc w:val="center"/>
              <w:rPr>
                <w:rFonts w:ascii="Calibri" w:eastAsia="Times New Roman" w:hAnsi="Calibri" w:cs="Calibri"/>
                <w:sz w:val="20"/>
                <w:szCs w:val="20"/>
              </w:rPr>
            </w:pPr>
            <w:proofErr w:type="spellStart"/>
            <w:r w:rsidRPr="00DA7AFE">
              <w:rPr>
                <w:rFonts w:ascii="Calibri" w:eastAsia="Times New Roman" w:hAnsi="Calibri" w:cs="Calibri"/>
                <w:sz w:val="20"/>
                <w:szCs w:val="20"/>
              </w:rPr>
              <w:t>un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493A6"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12,00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13227"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540,11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DDCE7"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727,50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088D9" w14:textId="77777777" w:rsidR="00DA7AFE" w:rsidRPr="00DA7AFE" w:rsidRDefault="00DA7AFE" w:rsidP="00DA7AFE">
            <w:pPr>
              <w:spacing w:after="0" w:line="240" w:lineRule="auto"/>
              <w:jc w:val="right"/>
              <w:rPr>
                <w:rFonts w:ascii="Calibri" w:eastAsia="Times New Roman" w:hAnsi="Calibri" w:cs="Calibri"/>
                <w:sz w:val="20"/>
                <w:szCs w:val="20"/>
              </w:rPr>
            </w:pPr>
            <w:r w:rsidRPr="00DA7AFE">
              <w:rPr>
                <w:rFonts w:ascii="Calibri" w:eastAsia="Times New Roman" w:hAnsi="Calibri" w:cs="Calibri"/>
                <w:sz w:val="20"/>
                <w:szCs w:val="20"/>
              </w:rPr>
              <w:t xml:space="preserve"> R$                   8.729,94 </w:t>
            </w:r>
          </w:p>
        </w:tc>
        <w:tc>
          <w:tcPr>
            <w:tcW w:w="0" w:type="auto"/>
            <w:tcBorders>
              <w:top w:val="single" w:sz="4" w:space="0" w:color="auto"/>
              <w:left w:val="single" w:sz="4" w:space="0" w:color="auto"/>
              <w:bottom w:val="single" w:sz="4" w:space="0" w:color="auto"/>
              <w:right w:val="single" w:sz="4" w:space="0" w:color="auto"/>
            </w:tcBorders>
            <w:shd w:val="clear" w:color="000000" w:fill="FCF8FB"/>
            <w:noWrap/>
            <w:vAlign w:val="bottom"/>
            <w:hideMark/>
          </w:tcPr>
          <w:p w14:paraId="6F4EBB21" w14:textId="77777777" w:rsidR="00DA7AFE" w:rsidRPr="00DA7AFE" w:rsidRDefault="00DA7AFE" w:rsidP="00DA7AFE">
            <w:pPr>
              <w:spacing w:after="0" w:line="240" w:lineRule="auto"/>
              <w:jc w:val="center"/>
              <w:rPr>
                <w:rFonts w:ascii="Calibri" w:eastAsia="Times New Roman" w:hAnsi="Calibri" w:cs="Calibri"/>
                <w:color w:val="000000"/>
              </w:rPr>
            </w:pPr>
            <w:r w:rsidRPr="00DA7AFE">
              <w:rPr>
                <w:rFonts w:ascii="Calibri" w:eastAsia="Times New Roman" w:hAnsi="Calibri" w:cs="Calibri"/>
                <w:color w:val="000000"/>
              </w:rPr>
              <w:t>3,46%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DDA13"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125,00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3D2C3"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1.500,00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C93DBB" w14:textId="77777777" w:rsidR="00DA7AFE" w:rsidRPr="00DA7AFE" w:rsidRDefault="00DA7AFE" w:rsidP="00DA7AFE">
            <w:pPr>
              <w:spacing w:after="0" w:line="240" w:lineRule="auto"/>
              <w:jc w:val="right"/>
              <w:rPr>
                <w:rFonts w:ascii="Calibri" w:eastAsia="Times New Roman" w:hAnsi="Calibri" w:cs="Calibri"/>
              </w:rPr>
            </w:pPr>
            <w:r w:rsidRPr="00DA7AFE">
              <w:rPr>
                <w:rFonts w:ascii="Calibri" w:eastAsia="Times New Roman" w:hAnsi="Calibri" w:cs="Calibri"/>
              </w:rPr>
              <w:t>82,8%</w:t>
            </w:r>
          </w:p>
        </w:tc>
      </w:tr>
      <w:tr w:rsidR="00DA7AFE" w:rsidRPr="00DA7AFE" w14:paraId="3D574B3C" w14:textId="77777777" w:rsidTr="00DA7AF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3F2A5"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D09742" w14:textId="77777777" w:rsidR="00DA7AFE" w:rsidRPr="00DA7AFE" w:rsidRDefault="00DA7AFE" w:rsidP="00DA7AFE">
            <w:pPr>
              <w:spacing w:after="0" w:line="240" w:lineRule="auto"/>
              <w:rPr>
                <w:rFonts w:ascii="Calibri" w:eastAsia="Times New Roman" w:hAnsi="Calibri" w:cs="Calibri"/>
                <w:sz w:val="20"/>
                <w:szCs w:val="20"/>
              </w:rPr>
            </w:pPr>
            <w:r w:rsidRPr="00DA7AFE">
              <w:rPr>
                <w:rFonts w:ascii="Calibri" w:eastAsia="Times New Roman" w:hAnsi="Calibri" w:cs="Calibri"/>
                <w:sz w:val="20"/>
                <w:szCs w:val="20"/>
              </w:rPr>
              <w:t>Junta vedação para tampa válvula DC9/DC12/DC16(MM03)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795BF" w14:textId="77777777" w:rsidR="00DA7AFE" w:rsidRPr="00DA7AFE" w:rsidRDefault="00DA7AFE" w:rsidP="00DA7AFE">
            <w:pPr>
              <w:spacing w:after="0" w:line="240" w:lineRule="auto"/>
              <w:jc w:val="center"/>
              <w:rPr>
                <w:rFonts w:ascii="Calibri" w:eastAsia="Times New Roman" w:hAnsi="Calibri" w:cs="Calibri"/>
                <w:sz w:val="20"/>
                <w:szCs w:val="20"/>
              </w:rPr>
            </w:pPr>
            <w:proofErr w:type="spellStart"/>
            <w:r w:rsidRPr="00DA7AFE">
              <w:rPr>
                <w:rFonts w:ascii="Calibri" w:eastAsia="Times New Roman" w:hAnsi="Calibri" w:cs="Calibri"/>
                <w:sz w:val="20"/>
                <w:szCs w:val="20"/>
              </w:rPr>
              <w:t>un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880E7"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12,00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5E074"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540,11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0A75F"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727,50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1AA33" w14:textId="77777777" w:rsidR="00DA7AFE" w:rsidRPr="00DA7AFE" w:rsidRDefault="00DA7AFE" w:rsidP="00DA7AFE">
            <w:pPr>
              <w:spacing w:after="0" w:line="240" w:lineRule="auto"/>
              <w:jc w:val="right"/>
              <w:rPr>
                <w:rFonts w:ascii="Calibri" w:eastAsia="Times New Roman" w:hAnsi="Calibri" w:cs="Calibri"/>
                <w:sz w:val="20"/>
                <w:szCs w:val="20"/>
              </w:rPr>
            </w:pPr>
            <w:r w:rsidRPr="00DA7AFE">
              <w:rPr>
                <w:rFonts w:ascii="Calibri" w:eastAsia="Times New Roman" w:hAnsi="Calibri" w:cs="Calibri"/>
                <w:sz w:val="20"/>
                <w:szCs w:val="20"/>
              </w:rPr>
              <w:t xml:space="preserve"> R$                   8.729,94 </w:t>
            </w:r>
          </w:p>
        </w:tc>
        <w:tc>
          <w:tcPr>
            <w:tcW w:w="0" w:type="auto"/>
            <w:tcBorders>
              <w:top w:val="single" w:sz="4" w:space="0" w:color="auto"/>
              <w:left w:val="single" w:sz="4" w:space="0" w:color="auto"/>
              <w:bottom w:val="single" w:sz="4" w:space="0" w:color="auto"/>
              <w:right w:val="single" w:sz="4" w:space="0" w:color="auto"/>
            </w:tcBorders>
            <w:shd w:val="clear" w:color="000000" w:fill="FCF8FB"/>
            <w:noWrap/>
            <w:vAlign w:val="bottom"/>
            <w:hideMark/>
          </w:tcPr>
          <w:p w14:paraId="2B8B3355" w14:textId="77777777" w:rsidR="00DA7AFE" w:rsidRPr="00DA7AFE" w:rsidRDefault="00DA7AFE" w:rsidP="00DA7AFE">
            <w:pPr>
              <w:spacing w:after="0" w:line="240" w:lineRule="auto"/>
              <w:jc w:val="center"/>
              <w:rPr>
                <w:rFonts w:ascii="Calibri" w:eastAsia="Times New Roman" w:hAnsi="Calibri" w:cs="Calibri"/>
                <w:color w:val="000000"/>
              </w:rPr>
            </w:pPr>
            <w:r w:rsidRPr="00DA7AFE">
              <w:rPr>
                <w:rFonts w:ascii="Calibri" w:eastAsia="Times New Roman" w:hAnsi="Calibri" w:cs="Calibri"/>
                <w:color w:val="000000"/>
              </w:rPr>
              <w:t>3,46%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CFE53"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95,00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583B4"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1.140,00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CA6A28" w14:textId="77777777" w:rsidR="00DA7AFE" w:rsidRPr="00DA7AFE" w:rsidRDefault="00DA7AFE" w:rsidP="00DA7AFE">
            <w:pPr>
              <w:spacing w:after="0" w:line="240" w:lineRule="auto"/>
              <w:jc w:val="right"/>
              <w:rPr>
                <w:rFonts w:ascii="Calibri" w:eastAsia="Times New Roman" w:hAnsi="Calibri" w:cs="Calibri"/>
              </w:rPr>
            </w:pPr>
            <w:r w:rsidRPr="00DA7AFE">
              <w:rPr>
                <w:rFonts w:ascii="Calibri" w:eastAsia="Times New Roman" w:hAnsi="Calibri" w:cs="Calibri"/>
              </w:rPr>
              <w:t>86,9%</w:t>
            </w:r>
          </w:p>
        </w:tc>
      </w:tr>
      <w:tr w:rsidR="00DA7AFE" w:rsidRPr="00DA7AFE" w14:paraId="2AFA0B2B" w14:textId="77777777" w:rsidTr="00DA7AF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E1A4E"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74168D" w14:textId="77777777" w:rsidR="00DA7AFE" w:rsidRPr="00DA7AFE" w:rsidRDefault="00DA7AFE" w:rsidP="00DA7AFE">
            <w:pPr>
              <w:spacing w:after="0" w:line="240" w:lineRule="auto"/>
              <w:rPr>
                <w:rFonts w:ascii="Calibri" w:eastAsia="Times New Roman" w:hAnsi="Calibri" w:cs="Calibri"/>
                <w:sz w:val="20"/>
                <w:szCs w:val="20"/>
              </w:rPr>
            </w:pPr>
            <w:r w:rsidRPr="00DA7AFE">
              <w:rPr>
                <w:rFonts w:ascii="Calibri" w:eastAsia="Times New Roman" w:hAnsi="Calibri" w:cs="Calibri"/>
                <w:sz w:val="20"/>
                <w:szCs w:val="20"/>
              </w:rPr>
              <w:t>Correia ventilação DC972/DC1372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1EE80" w14:textId="77777777" w:rsidR="00DA7AFE" w:rsidRPr="00DA7AFE" w:rsidRDefault="00DA7AFE" w:rsidP="00DA7AFE">
            <w:pPr>
              <w:spacing w:after="0" w:line="240" w:lineRule="auto"/>
              <w:jc w:val="center"/>
              <w:rPr>
                <w:rFonts w:ascii="Calibri" w:eastAsia="Times New Roman" w:hAnsi="Calibri" w:cs="Calibri"/>
                <w:sz w:val="20"/>
                <w:szCs w:val="20"/>
              </w:rPr>
            </w:pPr>
            <w:proofErr w:type="spellStart"/>
            <w:r w:rsidRPr="00DA7AFE">
              <w:rPr>
                <w:rFonts w:ascii="Calibri" w:eastAsia="Times New Roman" w:hAnsi="Calibri" w:cs="Calibri"/>
                <w:sz w:val="20"/>
                <w:szCs w:val="20"/>
              </w:rPr>
              <w:t>un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75EB9"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997DB"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2.256,36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36C54"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3.039,18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F8CBD" w14:textId="77777777" w:rsidR="00DA7AFE" w:rsidRPr="00DA7AFE" w:rsidRDefault="00DA7AFE" w:rsidP="00DA7AFE">
            <w:pPr>
              <w:spacing w:after="0" w:line="240" w:lineRule="auto"/>
              <w:jc w:val="right"/>
              <w:rPr>
                <w:rFonts w:ascii="Calibri" w:eastAsia="Times New Roman" w:hAnsi="Calibri" w:cs="Calibri"/>
                <w:sz w:val="20"/>
                <w:szCs w:val="20"/>
              </w:rPr>
            </w:pPr>
            <w:r w:rsidRPr="00DA7AFE">
              <w:rPr>
                <w:rFonts w:ascii="Calibri" w:eastAsia="Times New Roman" w:hAnsi="Calibri" w:cs="Calibri"/>
                <w:sz w:val="20"/>
                <w:szCs w:val="20"/>
              </w:rPr>
              <w:t xml:space="preserve"> R$                   6.078,36 </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6C66E74E" w14:textId="77777777" w:rsidR="00DA7AFE" w:rsidRPr="00DA7AFE" w:rsidRDefault="00DA7AFE" w:rsidP="00DA7AFE">
            <w:pPr>
              <w:spacing w:after="0" w:line="240" w:lineRule="auto"/>
              <w:jc w:val="center"/>
              <w:rPr>
                <w:rFonts w:ascii="Calibri" w:eastAsia="Times New Roman" w:hAnsi="Calibri" w:cs="Calibri"/>
                <w:color w:val="000000"/>
              </w:rPr>
            </w:pPr>
            <w:r w:rsidRPr="00DA7AFE">
              <w:rPr>
                <w:rFonts w:ascii="Calibri" w:eastAsia="Times New Roman" w:hAnsi="Calibri" w:cs="Calibri"/>
                <w:color w:val="000000"/>
              </w:rPr>
              <w:t>2,41%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48177"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300,00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792D1"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600,00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B81492" w14:textId="77777777" w:rsidR="00DA7AFE" w:rsidRPr="00DA7AFE" w:rsidRDefault="00DA7AFE" w:rsidP="00DA7AFE">
            <w:pPr>
              <w:spacing w:after="0" w:line="240" w:lineRule="auto"/>
              <w:jc w:val="right"/>
              <w:rPr>
                <w:rFonts w:ascii="Calibri" w:eastAsia="Times New Roman" w:hAnsi="Calibri" w:cs="Calibri"/>
              </w:rPr>
            </w:pPr>
            <w:r w:rsidRPr="00DA7AFE">
              <w:rPr>
                <w:rFonts w:ascii="Calibri" w:eastAsia="Times New Roman" w:hAnsi="Calibri" w:cs="Calibri"/>
              </w:rPr>
              <w:t>90,1%</w:t>
            </w:r>
          </w:p>
        </w:tc>
      </w:tr>
      <w:tr w:rsidR="00DA7AFE" w:rsidRPr="00DA7AFE" w14:paraId="4F478DC6" w14:textId="77777777" w:rsidTr="00DA7AF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B3A33"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5.8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449E9A" w14:textId="77777777" w:rsidR="00DA7AFE" w:rsidRPr="00DA7AFE" w:rsidRDefault="00DA7AFE" w:rsidP="00DA7AFE">
            <w:pPr>
              <w:spacing w:after="0" w:line="240" w:lineRule="auto"/>
              <w:rPr>
                <w:rFonts w:ascii="Calibri" w:eastAsia="Times New Roman" w:hAnsi="Calibri" w:cs="Calibri"/>
                <w:sz w:val="20"/>
                <w:szCs w:val="20"/>
              </w:rPr>
            </w:pPr>
            <w:r w:rsidRPr="00DA7AFE">
              <w:rPr>
                <w:rFonts w:ascii="Calibri" w:eastAsia="Times New Roman" w:hAnsi="Calibri" w:cs="Calibri"/>
                <w:sz w:val="20"/>
                <w:szCs w:val="20"/>
              </w:rPr>
              <w:t>Correia ventilação DC972/DC1372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55F40" w14:textId="77777777" w:rsidR="00DA7AFE" w:rsidRPr="00DA7AFE" w:rsidRDefault="00DA7AFE" w:rsidP="00DA7AFE">
            <w:pPr>
              <w:spacing w:after="0" w:line="240" w:lineRule="auto"/>
              <w:jc w:val="center"/>
              <w:rPr>
                <w:rFonts w:ascii="Calibri" w:eastAsia="Times New Roman" w:hAnsi="Calibri" w:cs="Calibri"/>
                <w:sz w:val="20"/>
                <w:szCs w:val="20"/>
              </w:rPr>
            </w:pPr>
            <w:proofErr w:type="spellStart"/>
            <w:r w:rsidRPr="00DA7AFE">
              <w:rPr>
                <w:rFonts w:ascii="Calibri" w:eastAsia="Times New Roman" w:hAnsi="Calibri" w:cs="Calibri"/>
                <w:sz w:val="20"/>
                <w:szCs w:val="20"/>
              </w:rPr>
              <w:t>un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3E3E7"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B03F5"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2.256,36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3D5B4"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3.039,18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A0C12" w14:textId="77777777" w:rsidR="00DA7AFE" w:rsidRPr="00DA7AFE" w:rsidRDefault="00DA7AFE" w:rsidP="00DA7AFE">
            <w:pPr>
              <w:spacing w:after="0" w:line="240" w:lineRule="auto"/>
              <w:jc w:val="right"/>
              <w:rPr>
                <w:rFonts w:ascii="Calibri" w:eastAsia="Times New Roman" w:hAnsi="Calibri" w:cs="Calibri"/>
                <w:sz w:val="20"/>
                <w:szCs w:val="20"/>
              </w:rPr>
            </w:pPr>
            <w:r w:rsidRPr="00DA7AFE">
              <w:rPr>
                <w:rFonts w:ascii="Calibri" w:eastAsia="Times New Roman" w:hAnsi="Calibri" w:cs="Calibri"/>
                <w:sz w:val="20"/>
                <w:szCs w:val="20"/>
              </w:rPr>
              <w:t xml:space="preserve"> R$                   6.078,36 </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379DD26D" w14:textId="77777777" w:rsidR="00DA7AFE" w:rsidRPr="00DA7AFE" w:rsidRDefault="00DA7AFE" w:rsidP="00DA7AFE">
            <w:pPr>
              <w:spacing w:after="0" w:line="240" w:lineRule="auto"/>
              <w:jc w:val="center"/>
              <w:rPr>
                <w:rFonts w:ascii="Calibri" w:eastAsia="Times New Roman" w:hAnsi="Calibri" w:cs="Calibri"/>
                <w:color w:val="000000"/>
              </w:rPr>
            </w:pPr>
            <w:r w:rsidRPr="00DA7AFE">
              <w:rPr>
                <w:rFonts w:ascii="Calibri" w:eastAsia="Times New Roman" w:hAnsi="Calibri" w:cs="Calibri"/>
                <w:color w:val="000000"/>
              </w:rPr>
              <w:t>2,41%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E68CE"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350,00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76C12"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700,00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69C216" w14:textId="77777777" w:rsidR="00DA7AFE" w:rsidRPr="00DA7AFE" w:rsidRDefault="00DA7AFE" w:rsidP="00DA7AFE">
            <w:pPr>
              <w:spacing w:after="0" w:line="240" w:lineRule="auto"/>
              <w:jc w:val="right"/>
              <w:rPr>
                <w:rFonts w:ascii="Calibri" w:eastAsia="Times New Roman" w:hAnsi="Calibri" w:cs="Calibri"/>
              </w:rPr>
            </w:pPr>
            <w:r w:rsidRPr="00DA7AFE">
              <w:rPr>
                <w:rFonts w:ascii="Calibri" w:eastAsia="Times New Roman" w:hAnsi="Calibri" w:cs="Calibri"/>
              </w:rPr>
              <w:t>88,5%</w:t>
            </w:r>
          </w:p>
        </w:tc>
      </w:tr>
      <w:tr w:rsidR="00DA7AFE" w:rsidRPr="00DA7AFE" w14:paraId="359C2AA3" w14:textId="77777777" w:rsidTr="00DA7AF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6BF39"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5.5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B29C77" w14:textId="77777777" w:rsidR="00DA7AFE" w:rsidRPr="00DA7AFE" w:rsidRDefault="00DA7AFE" w:rsidP="00DA7AFE">
            <w:pPr>
              <w:spacing w:after="0" w:line="240" w:lineRule="auto"/>
              <w:rPr>
                <w:rFonts w:ascii="Calibri" w:eastAsia="Times New Roman" w:hAnsi="Calibri" w:cs="Calibri"/>
                <w:sz w:val="20"/>
                <w:szCs w:val="20"/>
              </w:rPr>
            </w:pPr>
            <w:r w:rsidRPr="00DA7AFE">
              <w:rPr>
                <w:rFonts w:ascii="Calibri" w:eastAsia="Times New Roman" w:hAnsi="Calibri" w:cs="Calibri"/>
                <w:sz w:val="20"/>
                <w:szCs w:val="20"/>
              </w:rPr>
              <w:t>Bateria selada 12V 50Ah 34R, com descarte da unidade antiga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941E4" w14:textId="77777777" w:rsidR="00DA7AFE" w:rsidRPr="00DA7AFE" w:rsidRDefault="00DA7AFE" w:rsidP="00DA7AFE">
            <w:pPr>
              <w:spacing w:after="0" w:line="240" w:lineRule="auto"/>
              <w:jc w:val="center"/>
              <w:rPr>
                <w:rFonts w:ascii="Calibri" w:eastAsia="Times New Roman" w:hAnsi="Calibri" w:cs="Calibri"/>
                <w:sz w:val="20"/>
                <w:szCs w:val="20"/>
              </w:rPr>
            </w:pPr>
            <w:proofErr w:type="spellStart"/>
            <w:r w:rsidRPr="00DA7AFE">
              <w:rPr>
                <w:rFonts w:ascii="Calibri" w:eastAsia="Times New Roman" w:hAnsi="Calibri" w:cs="Calibri"/>
                <w:sz w:val="20"/>
                <w:szCs w:val="20"/>
              </w:rPr>
              <w:t>un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1BEAA"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4,00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C5CE4"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1.102,20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48E91"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1.484,60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E0E58" w14:textId="77777777" w:rsidR="00DA7AFE" w:rsidRPr="00DA7AFE" w:rsidRDefault="00DA7AFE" w:rsidP="00DA7AFE">
            <w:pPr>
              <w:spacing w:after="0" w:line="240" w:lineRule="auto"/>
              <w:jc w:val="right"/>
              <w:rPr>
                <w:rFonts w:ascii="Calibri" w:eastAsia="Times New Roman" w:hAnsi="Calibri" w:cs="Calibri"/>
                <w:sz w:val="20"/>
                <w:szCs w:val="20"/>
              </w:rPr>
            </w:pPr>
            <w:r w:rsidRPr="00DA7AFE">
              <w:rPr>
                <w:rFonts w:ascii="Calibri" w:eastAsia="Times New Roman" w:hAnsi="Calibri" w:cs="Calibri"/>
                <w:sz w:val="20"/>
                <w:szCs w:val="20"/>
              </w:rPr>
              <w:t xml:space="preserve"> R$                   5.938,38 </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2C290C41" w14:textId="77777777" w:rsidR="00DA7AFE" w:rsidRPr="00DA7AFE" w:rsidRDefault="00DA7AFE" w:rsidP="00DA7AFE">
            <w:pPr>
              <w:spacing w:after="0" w:line="240" w:lineRule="auto"/>
              <w:jc w:val="center"/>
              <w:rPr>
                <w:rFonts w:ascii="Calibri" w:eastAsia="Times New Roman" w:hAnsi="Calibri" w:cs="Calibri"/>
                <w:color w:val="000000"/>
              </w:rPr>
            </w:pPr>
            <w:r w:rsidRPr="00DA7AFE">
              <w:rPr>
                <w:rFonts w:ascii="Calibri" w:eastAsia="Times New Roman" w:hAnsi="Calibri" w:cs="Calibri"/>
                <w:color w:val="000000"/>
              </w:rPr>
              <w:t>2,35%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7F2A1"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425,00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3DC3C"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1.700,00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14CA28" w14:textId="77777777" w:rsidR="00DA7AFE" w:rsidRPr="00DA7AFE" w:rsidRDefault="00DA7AFE" w:rsidP="00DA7AFE">
            <w:pPr>
              <w:spacing w:after="0" w:line="240" w:lineRule="auto"/>
              <w:jc w:val="right"/>
              <w:rPr>
                <w:rFonts w:ascii="Calibri" w:eastAsia="Times New Roman" w:hAnsi="Calibri" w:cs="Calibri"/>
              </w:rPr>
            </w:pPr>
            <w:r w:rsidRPr="00DA7AFE">
              <w:rPr>
                <w:rFonts w:ascii="Calibri" w:eastAsia="Times New Roman" w:hAnsi="Calibri" w:cs="Calibri"/>
              </w:rPr>
              <w:t>71,4%</w:t>
            </w:r>
          </w:p>
        </w:tc>
      </w:tr>
      <w:tr w:rsidR="00DA7AFE" w:rsidRPr="00DA7AFE" w14:paraId="058EEB51" w14:textId="77777777" w:rsidTr="00DA7AF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C7B58"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B4A76D" w14:textId="77777777" w:rsidR="00DA7AFE" w:rsidRPr="00DA7AFE" w:rsidRDefault="00DA7AFE" w:rsidP="00DA7AFE">
            <w:pPr>
              <w:spacing w:after="0" w:line="240" w:lineRule="auto"/>
              <w:rPr>
                <w:rFonts w:ascii="Calibri" w:eastAsia="Times New Roman" w:hAnsi="Calibri" w:cs="Calibri"/>
                <w:sz w:val="20"/>
                <w:szCs w:val="20"/>
              </w:rPr>
            </w:pPr>
            <w:proofErr w:type="spellStart"/>
            <w:r w:rsidRPr="00DA7AFE">
              <w:rPr>
                <w:rFonts w:ascii="Calibri" w:eastAsia="Times New Roman" w:hAnsi="Calibri" w:cs="Calibri"/>
                <w:sz w:val="20"/>
                <w:szCs w:val="20"/>
              </w:rPr>
              <w:t>Solenóide</w:t>
            </w:r>
            <w:proofErr w:type="spellEnd"/>
            <w:r w:rsidRPr="00DA7AFE">
              <w:rPr>
                <w:rFonts w:ascii="Calibri" w:eastAsia="Times New Roman" w:hAnsi="Calibri" w:cs="Calibri"/>
                <w:sz w:val="20"/>
                <w:szCs w:val="20"/>
              </w:rPr>
              <w:t xml:space="preserve"> de abastecimento automático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7CCE0" w14:textId="77777777" w:rsidR="00DA7AFE" w:rsidRPr="00DA7AFE" w:rsidRDefault="00DA7AFE" w:rsidP="00DA7AFE">
            <w:pPr>
              <w:spacing w:after="0" w:line="240" w:lineRule="auto"/>
              <w:jc w:val="center"/>
              <w:rPr>
                <w:rFonts w:ascii="Calibri" w:eastAsia="Times New Roman" w:hAnsi="Calibri" w:cs="Calibri"/>
                <w:sz w:val="20"/>
                <w:szCs w:val="20"/>
              </w:rPr>
            </w:pPr>
            <w:proofErr w:type="spellStart"/>
            <w:r w:rsidRPr="00DA7AFE">
              <w:rPr>
                <w:rFonts w:ascii="Calibri" w:eastAsia="Times New Roman" w:hAnsi="Calibri" w:cs="Calibri"/>
                <w:sz w:val="20"/>
                <w:szCs w:val="20"/>
              </w:rPr>
              <w:t>un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B83C5"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AE09A"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2.009,98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74B16"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2.707,31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86E59" w14:textId="77777777" w:rsidR="00DA7AFE" w:rsidRPr="00DA7AFE" w:rsidRDefault="00DA7AFE" w:rsidP="00DA7AFE">
            <w:pPr>
              <w:spacing w:after="0" w:line="240" w:lineRule="auto"/>
              <w:jc w:val="right"/>
              <w:rPr>
                <w:rFonts w:ascii="Calibri" w:eastAsia="Times New Roman" w:hAnsi="Calibri" w:cs="Calibri"/>
                <w:sz w:val="20"/>
                <w:szCs w:val="20"/>
              </w:rPr>
            </w:pPr>
            <w:r w:rsidRPr="00DA7AFE">
              <w:rPr>
                <w:rFonts w:ascii="Calibri" w:eastAsia="Times New Roman" w:hAnsi="Calibri" w:cs="Calibri"/>
                <w:sz w:val="20"/>
                <w:szCs w:val="20"/>
              </w:rPr>
              <w:t xml:space="preserve"> R$                   5.414,63 </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465E20A0" w14:textId="77777777" w:rsidR="00DA7AFE" w:rsidRPr="00DA7AFE" w:rsidRDefault="00DA7AFE" w:rsidP="00DA7AFE">
            <w:pPr>
              <w:spacing w:after="0" w:line="240" w:lineRule="auto"/>
              <w:jc w:val="center"/>
              <w:rPr>
                <w:rFonts w:ascii="Calibri" w:eastAsia="Times New Roman" w:hAnsi="Calibri" w:cs="Calibri"/>
                <w:color w:val="000000"/>
              </w:rPr>
            </w:pPr>
            <w:r w:rsidRPr="00DA7AFE">
              <w:rPr>
                <w:rFonts w:ascii="Calibri" w:eastAsia="Times New Roman" w:hAnsi="Calibri" w:cs="Calibri"/>
                <w:color w:val="000000"/>
              </w:rPr>
              <w:t>2,15%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6813A"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175,00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86584"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350,00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0B2B74" w14:textId="77777777" w:rsidR="00DA7AFE" w:rsidRPr="00DA7AFE" w:rsidRDefault="00DA7AFE" w:rsidP="00DA7AFE">
            <w:pPr>
              <w:spacing w:after="0" w:line="240" w:lineRule="auto"/>
              <w:jc w:val="right"/>
              <w:rPr>
                <w:rFonts w:ascii="Calibri" w:eastAsia="Times New Roman" w:hAnsi="Calibri" w:cs="Calibri"/>
              </w:rPr>
            </w:pPr>
            <w:r w:rsidRPr="00DA7AFE">
              <w:rPr>
                <w:rFonts w:ascii="Calibri" w:eastAsia="Times New Roman" w:hAnsi="Calibri" w:cs="Calibri"/>
              </w:rPr>
              <w:t>93,5%</w:t>
            </w:r>
          </w:p>
        </w:tc>
      </w:tr>
      <w:tr w:rsidR="00DA7AFE" w:rsidRPr="00DA7AFE" w14:paraId="22906E58" w14:textId="77777777" w:rsidTr="00DA7AF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644A9"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lastRenderedPageBreak/>
              <w:t>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AE4F71C" w14:textId="77777777" w:rsidR="00DA7AFE" w:rsidRPr="00DA7AFE" w:rsidRDefault="00DA7AFE" w:rsidP="00DA7AFE">
            <w:pPr>
              <w:spacing w:after="0" w:line="240" w:lineRule="auto"/>
              <w:rPr>
                <w:rFonts w:ascii="Calibri" w:eastAsia="Times New Roman" w:hAnsi="Calibri" w:cs="Calibri"/>
                <w:sz w:val="20"/>
                <w:szCs w:val="20"/>
              </w:rPr>
            </w:pPr>
            <w:r w:rsidRPr="00DA7AFE">
              <w:rPr>
                <w:rFonts w:ascii="Calibri" w:eastAsia="Times New Roman" w:hAnsi="Calibri" w:cs="Calibri"/>
                <w:sz w:val="20"/>
                <w:szCs w:val="20"/>
              </w:rPr>
              <w:t>Anéis coletores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8E6B5" w14:textId="77777777" w:rsidR="00DA7AFE" w:rsidRPr="00DA7AFE" w:rsidRDefault="00DA7AFE" w:rsidP="00DA7AFE">
            <w:pPr>
              <w:spacing w:after="0" w:line="240" w:lineRule="auto"/>
              <w:jc w:val="center"/>
              <w:rPr>
                <w:rFonts w:ascii="Calibri" w:eastAsia="Times New Roman" w:hAnsi="Calibri" w:cs="Calibri"/>
                <w:sz w:val="20"/>
                <w:szCs w:val="20"/>
              </w:rPr>
            </w:pPr>
            <w:proofErr w:type="spellStart"/>
            <w:r w:rsidRPr="00DA7AFE">
              <w:rPr>
                <w:rFonts w:ascii="Calibri" w:eastAsia="Times New Roman" w:hAnsi="Calibri" w:cs="Calibri"/>
                <w:sz w:val="20"/>
                <w:szCs w:val="20"/>
              </w:rPr>
              <w:t>un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7790F"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BFCFB"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2.009,98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4FC6D"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2.707,31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4DA3D" w14:textId="77777777" w:rsidR="00DA7AFE" w:rsidRPr="00DA7AFE" w:rsidRDefault="00DA7AFE" w:rsidP="00DA7AFE">
            <w:pPr>
              <w:spacing w:after="0" w:line="240" w:lineRule="auto"/>
              <w:jc w:val="right"/>
              <w:rPr>
                <w:rFonts w:ascii="Calibri" w:eastAsia="Times New Roman" w:hAnsi="Calibri" w:cs="Calibri"/>
                <w:sz w:val="20"/>
                <w:szCs w:val="20"/>
              </w:rPr>
            </w:pPr>
            <w:r w:rsidRPr="00DA7AFE">
              <w:rPr>
                <w:rFonts w:ascii="Calibri" w:eastAsia="Times New Roman" w:hAnsi="Calibri" w:cs="Calibri"/>
                <w:sz w:val="20"/>
                <w:szCs w:val="20"/>
              </w:rPr>
              <w:t xml:space="preserve"> R$                   5.414,63 </w:t>
            </w:r>
          </w:p>
        </w:tc>
        <w:tc>
          <w:tcPr>
            <w:tcW w:w="0" w:type="auto"/>
            <w:tcBorders>
              <w:top w:val="single" w:sz="4" w:space="0" w:color="auto"/>
              <w:left w:val="single" w:sz="4" w:space="0" w:color="auto"/>
              <w:bottom w:val="single" w:sz="4" w:space="0" w:color="auto"/>
              <w:right w:val="single" w:sz="4" w:space="0" w:color="auto"/>
            </w:tcBorders>
            <w:shd w:val="clear" w:color="000000" w:fill="FCFCFF"/>
            <w:noWrap/>
            <w:vAlign w:val="bottom"/>
            <w:hideMark/>
          </w:tcPr>
          <w:p w14:paraId="3B04F435" w14:textId="77777777" w:rsidR="00DA7AFE" w:rsidRPr="00DA7AFE" w:rsidRDefault="00DA7AFE" w:rsidP="00DA7AFE">
            <w:pPr>
              <w:spacing w:after="0" w:line="240" w:lineRule="auto"/>
              <w:jc w:val="center"/>
              <w:rPr>
                <w:rFonts w:ascii="Calibri" w:eastAsia="Times New Roman" w:hAnsi="Calibri" w:cs="Calibri"/>
                <w:color w:val="000000"/>
              </w:rPr>
            </w:pPr>
            <w:r w:rsidRPr="00DA7AFE">
              <w:rPr>
                <w:rFonts w:ascii="Calibri" w:eastAsia="Times New Roman" w:hAnsi="Calibri" w:cs="Calibri"/>
                <w:color w:val="000000"/>
              </w:rPr>
              <w:t>2,15%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968E0"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290,00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935C4"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580,00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F05241" w14:textId="77777777" w:rsidR="00DA7AFE" w:rsidRPr="00DA7AFE" w:rsidRDefault="00DA7AFE" w:rsidP="00DA7AFE">
            <w:pPr>
              <w:spacing w:after="0" w:line="240" w:lineRule="auto"/>
              <w:jc w:val="right"/>
              <w:rPr>
                <w:rFonts w:ascii="Calibri" w:eastAsia="Times New Roman" w:hAnsi="Calibri" w:cs="Calibri"/>
              </w:rPr>
            </w:pPr>
            <w:r w:rsidRPr="00DA7AFE">
              <w:rPr>
                <w:rFonts w:ascii="Calibri" w:eastAsia="Times New Roman" w:hAnsi="Calibri" w:cs="Calibri"/>
              </w:rPr>
              <w:t>89,3%</w:t>
            </w:r>
          </w:p>
        </w:tc>
      </w:tr>
      <w:tr w:rsidR="00DA7AFE" w:rsidRPr="00DA7AFE" w14:paraId="00D12A89" w14:textId="77777777" w:rsidTr="00DA7AF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5DA92"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FEDA26" w14:textId="77777777" w:rsidR="00DA7AFE" w:rsidRPr="00DA7AFE" w:rsidRDefault="00DA7AFE" w:rsidP="00DA7AFE">
            <w:pPr>
              <w:spacing w:after="0" w:line="240" w:lineRule="auto"/>
              <w:rPr>
                <w:rFonts w:ascii="Calibri" w:eastAsia="Times New Roman" w:hAnsi="Calibri" w:cs="Calibri"/>
                <w:sz w:val="20"/>
                <w:szCs w:val="20"/>
              </w:rPr>
            </w:pPr>
            <w:r w:rsidRPr="00DA7AFE">
              <w:rPr>
                <w:rFonts w:ascii="Calibri" w:eastAsia="Times New Roman" w:hAnsi="Calibri" w:cs="Calibri"/>
                <w:sz w:val="20"/>
                <w:szCs w:val="20"/>
              </w:rPr>
              <w:t>Mangueira cotovelo radiador água DSC11/DC1241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3A5BE" w14:textId="77777777" w:rsidR="00DA7AFE" w:rsidRPr="00DA7AFE" w:rsidRDefault="00DA7AFE" w:rsidP="00DA7AFE">
            <w:pPr>
              <w:spacing w:after="0" w:line="240" w:lineRule="auto"/>
              <w:jc w:val="center"/>
              <w:rPr>
                <w:rFonts w:ascii="Calibri" w:eastAsia="Times New Roman" w:hAnsi="Calibri" w:cs="Calibri"/>
                <w:sz w:val="20"/>
                <w:szCs w:val="20"/>
              </w:rPr>
            </w:pPr>
            <w:proofErr w:type="spellStart"/>
            <w:r w:rsidRPr="00DA7AFE">
              <w:rPr>
                <w:rFonts w:ascii="Calibri" w:eastAsia="Times New Roman" w:hAnsi="Calibri" w:cs="Calibri"/>
                <w:sz w:val="20"/>
                <w:szCs w:val="20"/>
              </w:rPr>
              <w:t>un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A3DDF"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4514E"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1.661,47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FE725"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2.237,90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326B1" w14:textId="77777777" w:rsidR="00DA7AFE" w:rsidRPr="00DA7AFE" w:rsidRDefault="00DA7AFE" w:rsidP="00DA7AFE">
            <w:pPr>
              <w:spacing w:after="0" w:line="240" w:lineRule="auto"/>
              <w:jc w:val="right"/>
              <w:rPr>
                <w:rFonts w:ascii="Calibri" w:eastAsia="Times New Roman" w:hAnsi="Calibri" w:cs="Calibri"/>
                <w:sz w:val="20"/>
                <w:szCs w:val="20"/>
              </w:rPr>
            </w:pPr>
            <w:r w:rsidRPr="00DA7AFE">
              <w:rPr>
                <w:rFonts w:ascii="Calibri" w:eastAsia="Times New Roman" w:hAnsi="Calibri" w:cs="Calibri"/>
                <w:sz w:val="20"/>
                <w:szCs w:val="20"/>
              </w:rPr>
              <w:t xml:space="preserve"> R$                   4.475,80 </w:t>
            </w:r>
          </w:p>
        </w:tc>
        <w:tc>
          <w:tcPr>
            <w:tcW w:w="0" w:type="auto"/>
            <w:tcBorders>
              <w:top w:val="single" w:sz="4" w:space="0" w:color="auto"/>
              <w:left w:val="single" w:sz="4" w:space="0" w:color="auto"/>
              <w:bottom w:val="single" w:sz="4" w:space="0" w:color="auto"/>
              <w:right w:val="single" w:sz="4" w:space="0" w:color="auto"/>
            </w:tcBorders>
            <w:shd w:val="clear" w:color="000000" w:fill="DFE8F5"/>
            <w:noWrap/>
            <w:vAlign w:val="bottom"/>
            <w:hideMark/>
          </w:tcPr>
          <w:p w14:paraId="48D0539B" w14:textId="77777777" w:rsidR="00DA7AFE" w:rsidRPr="00DA7AFE" w:rsidRDefault="00DA7AFE" w:rsidP="00DA7AFE">
            <w:pPr>
              <w:spacing w:after="0" w:line="240" w:lineRule="auto"/>
              <w:jc w:val="center"/>
              <w:rPr>
                <w:rFonts w:ascii="Calibri" w:eastAsia="Times New Roman" w:hAnsi="Calibri" w:cs="Calibri"/>
                <w:color w:val="000000"/>
              </w:rPr>
            </w:pPr>
            <w:r w:rsidRPr="00DA7AFE">
              <w:rPr>
                <w:rFonts w:ascii="Calibri" w:eastAsia="Times New Roman" w:hAnsi="Calibri" w:cs="Calibri"/>
                <w:color w:val="000000"/>
              </w:rPr>
              <w:t>1,77%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42C29"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125,00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F0C58"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250,00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4951B9" w14:textId="77777777" w:rsidR="00DA7AFE" w:rsidRPr="00DA7AFE" w:rsidRDefault="00DA7AFE" w:rsidP="00DA7AFE">
            <w:pPr>
              <w:spacing w:after="0" w:line="240" w:lineRule="auto"/>
              <w:jc w:val="right"/>
              <w:rPr>
                <w:rFonts w:ascii="Calibri" w:eastAsia="Times New Roman" w:hAnsi="Calibri" w:cs="Calibri"/>
              </w:rPr>
            </w:pPr>
            <w:r w:rsidRPr="00DA7AFE">
              <w:rPr>
                <w:rFonts w:ascii="Calibri" w:eastAsia="Times New Roman" w:hAnsi="Calibri" w:cs="Calibri"/>
              </w:rPr>
              <w:t>94,4%</w:t>
            </w:r>
          </w:p>
        </w:tc>
      </w:tr>
      <w:tr w:rsidR="00DA7AFE" w:rsidRPr="00DA7AFE" w14:paraId="58F91836" w14:textId="77777777" w:rsidTr="00DA7AF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974DA"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E4BA0B" w14:textId="77777777" w:rsidR="00DA7AFE" w:rsidRPr="00DA7AFE" w:rsidRDefault="00DA7AFE" w:rsidP="00DA7AFE">
            <w:pPr>
              <w:spacing w:after="0" w:line="240" w:lineRule="auto"/>
              <w:rPr>
                <w:rFonts w:ascii="Calibri" w:eastAsia="Times New Roman" w:hAnsi="Calibri" w:cs="Calibri"/>
                <w:sz w:val="20"/>
                <w:szCs w:val="20"/>
              </w:rPr>
            </w:pPr>
            <w:r w:rsidRPr="00DA7AFE">
              <w:rPr>
                <w:rFonts w:ascii="Calibri" w:eastAsia="Times New Roman" w:hAnsi="Calibri" w:cs="Calibri"/>
                <w:sz w:val="20"/>
                <w:szCs w:val="20"/>
              </w:rPr>
              <w:t>Amortecedor de vibrações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21E1F" w14:textId="77777777" w:rsidR="00DA7AFE" w:rsidRPr="00DA7AFE" w:rsidRDefault="00DA7AFE" w:rsidP="00DA7AFE">
            <w:pPr>
              <w:spacing w:after="0" w:line="240" w:lineRule="auto"/>
              <w:jc w:val="center"/>
              <w:rPr>
                <w:rFonts w:ascii="Calibri" w:eastAsia="Times New Roman" w:hAnsi="Calibri" w:cs="Calibri"/>
                <w:sz w:val="20"/>
                <w:szCs w:val="20"/>
              </w:rPr>
            </w:pPr>
            <w:proofErr w:type="spellStart"/>
            <w:r w:rsidRPr="00DA7AFE">
              <w:rPr>
                <w:rFonts w:ascii="Calibri" w:eastAsia="Times New Roman" w:hAnsi="Calibri" w:cs="Calibri"/>
                <w:sz w:val="20"/>
                <w:szCs w:val="20"/>
              </w:rPr>
              <w:t>un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A7B34"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561F7"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1.661,29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C2608"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2.237,66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BF0ED" w14:textId="77777777" w:rsidR="00DA7AFE" w:rsidRPr="00DA7AFE" w:rsidRDefault="00DA7AFE" w:rsidP="00DA7AFE">
            <w:pPr>
              <w:spacing w:after="0" w:line="240" w:lineRule="auto"/>
              <w:jc w:val="right"/>
              <w:rPr>
                <w:rFonts w:ascii="Calibri" w:eastAsia="Times New Roman" w:hAnsi="Calibri" w:cs="Calibri"/>
                <w:sz w:val="20"/>
                <w:szCs w:val="20"/>
              </w:rPr>
            </w:pPr>
            <w:r w:rsidRPr="00DA7AFE">
              <w:rPr>
                <w:rFonts w:ascii="Calibri" w:eastAsia="Times New Roman" w:hAnsi="Calibri" w:cs="Calibri"/>
                <w:sz w:val="20"/>
                <w:szCs w:val="20"/>
              </w:rPr>
              <w:t xml:space="preserve"> R$                   4.475,31 </w:t>
            </w:r>
          </w:p>
        </w:tc>
        <w:tc>
          <w:tcPr>
            <w:tcW w:w="0" w:type="auto"/>
            <w:tcBorders>
              <w:top w:val="single" w:sz="4" w:space="0" w:color="auto"/>
              <w:left w:val="single" w:sz="4" w:space="0" w:color="auto"/>
              <w:bottom w:val="single" w:sz="4" w:space="0" w:color="auto"/>
              <w:right w:val="single" w:sz="4" w:space="0" w:color="auto"/>
            </w:tcBorders>
            <w:shd w:val="clear" w:color="000000" w:fill="DFE8F5"/>
            <w:noWrap/>
            <w:vAlign w:val="bottom"/>
            <w:hideMark/>
          </w:tcPr>
          <w:p w14:paraId="5B167CC7" w14:textId="77777777" w:rsidR="00DA7AFE" w:rsidRPr="00DA7AFE" w:rsidRDefault="00DA7AFE" w:rsidP="00DA7AFE">
            <w:pPr>
              <w:spacing w:after="0" w:line="240" w:lineRule="auto"/>
              <w:jc w:val="center"/>
              <w:rPr>
                <w:rFonts w:ascii="Calibri" w:eastAsia="Times New Roman" w:hAnsi="Calibri" w:cs="Calibri"/>
                <w:color w:val="000000"/>
              </w:rPr>
            </w:pPr>
            <w:r w:rsidRPr="00DA7AFE">
              <w:rPr>
                <w:rFonts w:ascii="Calibri" w:eastAsia="Times New Roman" w:hAnsi="Calibri" w:cs="Calibri"/>
                <w:color w:val="000000"/>
              </w:rPr>
              <w:t>1,77%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DBF7B"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84,94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77559"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xml:space="preserve"> R$                 169,88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0DC2DC" w14:textId="77777777" w:rsidR="00DA7AFE" w:rsidRPr="00DA7AFE" w:rsidRDefault="00DA7AFE" w:rsidP="00DA7AFE">
            <w:pPr>
              <w:spacing w:after="0" w:line="240" w:lineRule="auto"/>
              <w:jc w:val="right"/>
              <w:rPr>
                <w:rFonts w:ascii="Calibri" w:eastAsia="Times New Roman" w:hAnsi="Calibri" w:cs="Calibri"/>
              </w:rPr>
            </w:pPr>
            <w:r w:rsidRPr="00DA7AFE">
              <w:rPr>
                <w:rFonts w:ascii="Calibri" w:eastAsia="Times New Roman" w:hAnsi="Calibri" w:cs="Calibri"/>
              </w:rPr>
              <w:t>96,2%</w:t>
            </w:r>
          </w:p>
        </w:tc>
      </w:tr>
      <w:tr w:rsidR="00DA7AFE" w:rsidRPr="00DA7AFE" w14:paraId="07A235F6" w14:textId="77777777" w:rsidTr="00DA7AF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2A27C" w14:textId="77777777" w:rsidR="00DA7AFE" w:rsidRPr="00DA7AFE" w:rsidRDefault="00DA7AFE" w:rsidP="00DA7AFE">
            <w:pPr>
              <w:spacing w:after="0" w:line="240" w:lineRule="auto"/>
              <w:jc w:val="center"/>
              <w:rPr>
                <w:rFonts w:ascii="Calibri" w:eastAsia="Times New Roman" w:hAnsi="Calibri" w:cs="Calibri"/>
                <w:sz w:val="20"/>
                <w:szCs w:val="20"/>
              </w:rPr>
            </w:pPr>
            <w:r w:rsidRPr="00DA7AFE">
              <w:rPr>
                <w:rFonts w:ascii="Calibri" w:eastAsia="Times New Roman" w:hAnsi="Calibri" w:cs="Calibri"/>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C06B34" w14:textId="77777777" w:rsidR="00DA7AFE" w:rsidRPr="00DA7AFE" w:rsidRDefault="00DA7AFE" w:rsidP="00DA7AFE">
            <w:pPr>
              <w:spacing w:after="0" w:line="240" w:lineRule="auto"/>
              <w:jc w:val="center"/>
              <w:rPr>
                <w:rFonts w:ascii="Calibri" w:eastAsia="Times New Roman" w:hAnsi="Calibri" w:cs="Calibri"/>
                <w:b/>
                <w:bCs/>
              </w:rPr>
            </w:pPr>
            <w:r w:rsidRPr="00DA7AFE">
              <w:rPr>
                <w:rFonts w:ascii="Calibri" w:eastAsia="Times New Roman" w:hAnsi="Calibri" w:cs="Calibri"/>
                <w:b/>
                <w:bCs/>
              </w:rPr>
              <w:t xml:space="preserve"> VALOR TOTAL COM BDI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D82E9" w14:textId="77777777" w:rsidR="00DA7AFE" w:rsidRPr="00DA7AFE" w:rsidRDefault="00DA7AFE" w:rsidP="00DA7AFE">
            <w:pPr>
              <w:spacing w:after="0" w:line="240" w:lineRule="auto"/>
              <w:jc w:val="center"/>
              <w:rPr>
                <w:rFonts w:ascii="Calibri" w:eastAsia="Times New Roman" w:hAnsi="Calibri" w:cs="Calibri"/>
                <w:b/>
                <w:bCs/>
              </w:rPr>
            </w:pPr>
            <w:r w:rsidRPr="00DA7AFE">
              <w:rPr>
                <w:rFonts w:ascii="Calibri" w:eastAsia="Times New Roman" w:hAnsi="Calibri" w:cs="Calibri"/>
                <w:b/>
                <w:bCs/>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3D007" w14:textId="77777777" w:rsidR="00DA7AFE" w:rsidRPr="00DA7AFE" w:rsidRDefault="00DA7AFE" w:rsidP="00DA7AFE">
            <w:pPr>
              <w:spacing w:after="0" w:line="240" w:lineRule="auto"/>
              <w:jc w:val="center"/>
              <w:rPr>
                <w:rFonts w:ascii="Calibri" w:eastAsia="Times New Roman" w:hAnsi="Calibri" w:cs="Calibri"/>
                <w:b/>
                <w:bCs/>
              </w:rPr>
            </w:pPr>
            <w:r w:rsidRPr="00DA7AFE">
              <w:rPr>
                <w:rFonts w:ascii="Calibri" w:eastAsia="Times New Roman" w:hAnsi="Calibri" w:cs="Calibri"/>
                <w:b/>
                <w:bCs/>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07CE7" w14:textId="77777777" w:rsidR="00DA7AFE" w:rsidRPr="00DA7AFE" w:rsidRDefault="00DA7AFE" w:rsidP="00DA7AFE">
            <w:pPr>
              <w:spacing w:after="0" w:line="240" w:lineRule="auto"/>
              <w:jc w:val="center"/>
              <w:rPr>
                <w:rFonts w:ascii="Calibri" w:eastAsia="Times New Roman" w:hAnsi="Calibri" w:cs="Calibri"/>
                <w:b/>
                <w:bCs/>
              </w:rPr>
            </w:pPr>
            <w:r w:rsidRPr="00DA7AFE">
              <w:rPr>
                <w:rFonts w:ascii="Calibri" w:eastAsia="Times New Roman" w:hAnsi="Calibri" w:cs="Calibri"/>
                <w:b/>
                <w:bCs/>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47405" w14:textId="77777777" w:rsidR="00DA7AFE" w:rsidRPr="00DA7AFE" w:rsidRDefault="00DA7AFE" w:rsidP="00DA7AFE">
            <w:pPr>
              <w:spacing w:after="0" w:line="240" w:lineRule="auto"/>
              <w:jc w:val="center"/>
              <w:rPr>
                <w:rFonts w:ascii="Calibri" w:eastAsia="Times New Roman" w:hAnsi="Calibri" w:cs="Calibri"/>
                <w:b/>
                <w:bCs/>
              </w:rPr>
            </w:pPr>
            <w:r w:rsidRPr="00DA7AFE">
              <w:rPr>
                <w:rFonts w:ascii="Calibri" w:eastAsia="Times New Roman" w:hAnsi="Calibri" w:cs="Calibri"/>
                <w:b/>
                <w:bCs/>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3D64E" w14:textId="77777777" w:rsidR="00DA7AFE" w:rsidRPr="00DA7AFE" w:rsidRDefault="00DA7AFE" w:rsidP="00DA7AFE">
            <w:pPr>
              <w:spacing w:after="0" w:line="240" w:lineRule="auto"/>
              <w:jc w:val="right"/>
              <w:rPr>
                <w:rFonts w:ascii="Calibri" w:eastAsia="Times New Roman" w:hAnsi="Calibri" w:cs="Calibri"/>
                <w:b/>
                <w:bCs/>
                <w:sz w:val="20"/>
                <w:szCs w:val="20"/>
              </w:rPr>
            </w:pPr>
            <w:r w:rsidRPr="00DA7AFE">
              <w:rPr>
                <w:rFonts w:ascii="Calibri" w:eastAsia="Times New Roman" w:hAnsi="Calibri" w:cs="Calibri"/>
                <w:b/>
                <w:bCs/>
                <w:sz w:val="20"/>
                <w:szCs w:val="20"/>
              </w:rPr>
              <w:t xml:space="preserve"> R$              252.388,84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15D28" w14:textId="77777777" w:rsidR="00DA7AFE" w:rsidRPr="00DA7AFE" w:rsidRDefault="00DA7AFE" w:rsidP="00DA7AFE">
            <w:pPr>
              <w:spacing w:after="0" w:line="240" w:lineRule="auto"/>
              <w:jc w:val="center"/>
              <w:rPr>
                <w:rFonts w:ascii="Calibri" w:eastAsia="Times New Roman" w:hAnsi="Calibri" w:cs="Calibri"/>
                <w:color w:val="000000"/>
              </w:rPr>
            </w:pPr>
            <w:r w:rsidRPr="00DA7AFE">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F93E2" w14:textId="77777777" w:rsidR="00DA7AFE" w:rsidRPr="00DA7AFE" w:rsidRDefault="00DA7AFE" w:rsidP="00DA7AFE">
            <w:pPr>
              <w:spacing w:after="0" w:line="240" w:lineRule="auto"/>
              <w:rPr>
                <w:rFonts w:ascii="Calibri" w:eastAsia="Times New Roman" w:hAnsi="Calibri" w:cs="Calibri"/>
                <w:color w:val="000000"/>
              </w:rPr>
            </w:pPr>
            <w:r w:rsidRPr="00DA7AFE">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92277" w14:textId="77777777" w:rsidR="00DA7AFE" w:rsidRPr="00DA7AFE" w:rsidRDefault="00DA7AFE" w:rsidP="00DA7AFE">
            <w:pPr>
              <w:spacing w:after="0" w:line="240" w:lineRule="auto"/>
              <w:rPr>
                <w:rFonts w:ascii="Calibri" w:eastAsia="Times New Roman" w:hAnsi="Calibri" w:cs="Calibri"/>
                <w:color w:val="000000"/>
              </w:rPr>
            </w:pPr>
            <w:r w:rsidRPr="00DA7AFE">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BEF26" w14:textId="77777777" w:rsidR="00DA7AFE" w:rsidRPr="00DA7AFE" w:rsidRDefault="00DA7AFE" w:rsidP="00DA7AFE">
            <w:pPr>
              <w:spacing w:after="0" w:line="240" w:lineRule="auto"/>
              <w:jc w:val="center"/>
              <w:rPr>
                <w:rFonts w:ascii="Calibri" w:eastAsia="Times New Roman" w:hAnsi="Calibri" w:cs="Calibri"/>
                <w:color w:val="000000"/>
              </w:rPr>
            </w:pPr>
            <w:r w:rsidRPr="00DA7AFE">
              <w:rPr>
                <w:rFonts w:ascii="Calibri" w:eastAsia="Times New Roman" w:hAnsi="Calibri" w:cs="Calibri"/>
                <w:color w:val="000000"/>
              </w:rPr>
              <w:t> </w:t>
            </w:r>
          </w:p>
        </w:tc>
      </w:tr>
    </w:tbl>
    <w:p w14:paraId="20273031" w14:textId="5AB1331A" w:rsidR="00EB1D3B" w:rsidRPr="00E36A23" w:rsidRDefault="00EB1D3B" w:rsidP="00F42087">
      <w:pPr>
        <w:spacing w:before="100" w:beforeAutospacing="1" w:after="100" w:afterAutospacing="1" w:line="360" w:lineRule="auto"/>
        <w:jc w:val="both"/>
        <w:rPr>
          <w:rFonts w:ascii="Arial" w:eastAsia="Times New Roman" w:hAnsi="Arial" w:cs="Arial"/>
          <w:sz w:val="24"/>
          <w:szCs w:val="24"/>
        </w:rPr>
      </w:pPr>
      <w:r w:rsidRPr="00E36A23">
        <w:rPr>
          <w:rFonts w:ascii="Arial" w:eastAsia="Times New Roman" w:hAnsi="Arial" w:cs="Arial"/>
          <w:sz w:val="24"/>
          <w:szCs w:val="24"/>
        </w:rPr>
        <w:t xml:space="preserve"> </w:t>
      </w:r>
    </w:p>
    <w:p w14:paraId="53D382E9" w14:textId="77777777" w:rsidR="00DC4346" w:rsidRPr="00E36A23" w:rsidRDefault="00DC4346" w:rsidP="00F42087">
      <w:pPr>
        <w:spacing w:before="100" w:beforeAutospacing="1" w:after="100" w:afterAutospacing="1" w:line="360" w:lineRule="auto"/>
        <w:jc w:val="both"/>
        <w:rPr>
          <w:rFonts w:ascii="Arial" w:eastAsia="Times New Roman" w:hAnsi="Arial" w:cs="Arial"/>
          <w:sz w:val="24"/>
          <w:szCs w:val="24"/>
        </w:rPr>
        <w:sectPr w:rsidR="00DC4346" w:rsidRPr="00E36A23" w:rsidSect="00DC4346">
          <w:pgSz w:w="16838" w:h="11906" w:orient="landscape"/>
          <w:pgMar w:top="1418" w:right="1418" w:bottom="1418" w:left="1418" w:header="397" w:footer="397" w:gutter="0"/>
          <w:cols w:space="708"/>
          <w:docGrid w:linePitch="360"/>
        </w:sectPr>
      </w:pPr>
    </w:p>
    <w:p w14:paraId="5B024D54" w14:textId="025D640A" w:rsidR="00DC4346" w:rsidRPr="00E36A23" w:rsidRDefault="00DC4346" w:rsidP="00F42087">
      <w:pPr>
        <w:spacing w:before="100" w:beforeAutospacing="1" w:after="100" w:afterAutospacing="1" w:line="360" w:lineRule="auto"/>
        <w:jc w:val="both"/>
        <w:rPr>
          <w:rFonts w:ascii="Arial" w:eastAsia="Times New Roman" w:hAnsi="Arial" w:cs="Arial"/>
          <w:sz w:val="24"/>
          <w:szCs w:val="24"/>
        </w:rPr>
      </w:pPr>
    </w:p>
    <w:p w14:paraId="20A7D9CB" w14:textId="393CF615" w:rsidR="00F42087" w:rsidRPr="00E36A23" w:rsidRDefault="00F42087" w:rsidP="00F42087">
      <w:pPr>
        <w:spacing w:before="100" w:beforeAutospacing="1" w:after="100" w:afterAutospacing="1" w:line="360" w:lineRule="auto"/>
        <w:jc w:val="both"/>
        <w:rPr>
          <w:rFonts w:ascii="Arial" w:eastAsia="Times New Roman" w:hAnsi="Arial" w:cs="Arial"/>
          <w:b/>
          <w:sz w:val="24"/>
          <w:szCs w:val="24"/>
        </w:rPr>
      </w:pPr>
      <w:r w:rsidRPr="00E36A23">
        <w:rPr>
          <w:rFonts w:ascii="Arial" w:eastAsia="Times New Roman" w:hAnsi="Arial" w:cs="Arial"/>
          <w:b/>
          <w:sz w:val="24"/>
          <w:szCs w:val="24"/>
        </w:rPr>
        <w:t>Solicitações</w:t>
      </w:r>
    </w:p>
    <w:p w14:paraId="72B949AF" w14:textId="45D85871" w:rsidR="00DC4346" w:rsidRPr="00E36A23" w:rsidRDefault="00DC4346" w:rsidP="000E287C">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Portanto, diante todo o exposto, solicitamos que a empresa licitante seja convocada a comprovar a exequibilidade no fornecimento dos itens supramencionados da planilha orçamentária referente aos itens da faixa A da curva ABC, sob pena de desclassificação.</w:t>
      </w:r>
      <w:r w:rsidR="00C07F3B" w:rsidRPr="00E36A23">
        <w:rPr>
          <w:rFonts w:ascii="Arial" w:eastAsia="Times New Roman" w:hAnsi="Arial" w:cs="Arial"/>
          <w:sz w:val="24"/>
          <w:szCs w:val="24"/>
        </w:rPr>
        <w:t xml:space="preserve"> Entendemos que a licitante já deva ter feito essa pesquisa de mercado antes da fase competitiva do certame que pudesse justificar um deságio tão relevante para tais itens e deva ser estabelecido prazo apenas para que a mesma possa organizar suas justificativas e apresentar os documentos comprobatórios. </w:t>
      </w:r>
      <w:bookmarkStart w:id="0" w:name="_GoBack"/>
      <w:bookmarkEnd w:id="0"/>
    </w:p>
    <w:p w14:paraId="36E76C27" w14:textId="77777777" w:rsidR="00E36A23" w:rsidRPr="00E36A23" w:rsidRDefault="00E36A23" w:rsidP="00E36A23">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 xml:space="preserve">Entendemos que sejam consideradas como comprovações válidas apenas cotações e propostas comerciais obtidas pela licitante junto a fornecedores para itens referentes a fornecimento de materiais e serviços especializados, não sendo cabível a mera declaração formal de posterior fornecimento dos mesmos nesses custos unitários. </w:t>
      </w:r>
      <w:r w:rsidRPr="00DA7AFE">
        <w:rPr>
          <w:rFonts w:ascii="Arial" w:eastAsia="Times New Roman" w:hAnsi="Arial" w:cs="Arial"/>
          <w:sz w:val="24"/>
          <w:szCs w:val="24"/>
          <w:u w:val="single"/>
        </w:rPr>
        <w:t>Ainda, informamos que as cotações serão objeto de investigação visando a prevenção de fraudes e concorrência desleal, sujeitando-se à aplicação das sanções legais cabíveis por esta Corte de Contas em caso de falsificação ou manipulação de propostas comerciais apresentadas por empresas de fornecimento de materiais e serviços</w:t>
      </w:r>
      <w:r w:rsidRPr="00E36A23">
        <w:rPr>
          <w:rFonts w:ascii="Arial" w:eastAsia="Times New Roman" w:hAnsi="Arial" w:cs="Arial"/>
          <w:sz w:val="24"/>
          <w:szCs w:val="24"/>
        </w:rPr>
        <w:t>.</w:t>
      </w:r>
    </w:p>
    <w:p w14:paraId="22AC071C" w14:textId="77777777" w:rsidR="00640373" w:rsidRPr="00E36A23" w:rsidRDefault="00640373" w:rsidP="000E287C">
      <w:pPr>
        <w:spacing w:before="100" w:beforeAutospacing="1" w:after="100" w:afterAutospacing="1" w:line="360" w:lineRule="auto"/>
        <w:ind w:firstLine="1134"/>
        <w:jc w:val="both"/>
        <w:rPr>
          <w:rFonts w:ascii="Arial" w:eastAsia="Times New Roman" w:hAnsi="Arial" w:cs="Arial"/>
          <w:sz w:val="24"/>
          <w:szCs w:val="24"/>
        </w:rPr>
      </w:pPr>
      <w:r w:rsidRPr="00E36A23">
        <w:rPr>
          <w:rFonts w:ascii="Arial" w:eastAsia="Times New Roman" w:hAnsi="Arial" w:cs="Arial"/>
          <w:sz w:val="24"/>
          <w:szCs w:val="24"/>
        </w:rPr>
        <w:t>Certos de contar com a atenção e diligência de Vossa Senhoria, colocamo-nos à disposição para quaisquer esclarecimentos.</w:t>
      </w:r>
    </w:p>
    <w:p w14:paraId="09A585E9" w14:textId="46ACF591" w:rsidR="007C6E3D" w:rsidRPr="00E36A23" w:rsidRDefault="007C6E3D" w:rsidP="00F42087">
      <w:pPr>
        <w:spacing w:line="360" w:lineRule="auto"/>
        <w:jc w:val="both"/>
        <w:rPr>
          <w:rFonts w:ascii="Arial" w:hAnsi="Arial" w:cs="Arial"/>
        </w:rPr>
      </w:pPr>
    </w:p>
    <w:sectPr w:rsidR="007C6E3D" w:rsidRPr="00E36A23" w:rsidSect="00640373">
      <w:pgSz w:w="11906" w:h="16838"/>
      <w:pgMar w:top="1418"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8ECC5" w14:textId="77777777" w:rsidR="00547AEC" w:rsidRDefault="00547AEC" w:rsidP="004E3221">
      <w:pPr>
        <w:spacing w:after="0" w:line="240" w:lineRule="auto"/>
      </w:pPr>
      <w:r>
        <w:separator/>
      </w:r>
    </w:p>
  </w:endnote>
  <w:endnote w:type="continuationSeparator" w:id="0">
    <w:p w14:paraId="5B4008D1" w14:textId="77777777" w:rsidR="00547AEC" w:rsidRDefault="00547AEC" w:rsidP="004E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Ecofont Vera Sans">
    <w:altName w:val="Arial"/>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9A41A" w14:textId="77777777" w:rsidR="00547AEC" w:rsidRPr="00900F55" w:rsidRDefault="00547AEC" w:rsidP="005A3B65">
    <w:pPr>
      <w:pStyle w:val="Rodap"/>
      <w:jc w:val="center"/>
      <w:rPr>
        <w:rFonts w:ascii="Ecofont Vera Sans" w:hAnsi="Ecofont Vera Sans"/>
        <w:b/>
        <w:sz w:val="18"/>
      </w:rPr>
    </w:pPr>
    <w:r w:rsidRPr="00900F55">
      <w:rPr>
        <w:rFonts w:ascii="Ecofont Vera Sans" w:hAnsi="Ecofont Vera Sans"/>
        <w:b/>
        <w:sz w:val="18"/>
      </w:rPr>
      <w:t xml:space="preserve">Página </w:t>
    </w:r>
    <w:r w:rsidRPr="00900F55">
      <w:rPr>
        <w:rFonts w:ascii="Ecofont Vera Sans" w:hAnsi="Ecofont Vera Sans"/>
        <w:b/>
        <w:sz w:val="18"/>
      </w:rPr>
      <w:fldChar w:fldCharType="begin"/>
    </w:r>
    <w:r w:rsidRPr="00900F55">
      <w:rPr>
        <w:rFonts w:ascii="Ecofont Vera Sans" w:hAnsi="Ecofont Vera Sans"/>
        <w:b/>
        <w:sz w:val="18"/>
      </w:rPr>
      <w:instrText xml:space="preserve"> PAGE  \* Arabic  \* MERGEFORMAT </w:instrText>
    </w:r>
    <w:r w:rsidRPr="00900F55">
      <w:rPr>
        <w:rFonts w:ascii="Ecofont Vera Sans" w:hAnsi="Ecofont Vera Sans"/>
        <w:b/>
        <w:sz w:val="18"/>
      </w:rPr>
      <w:fldChar w:fldCharType="separate"/>
    </w:r>
    <w:r>
      <w:rPr>
        <w:rFonts w:ascii="Ecofont Vera Sans" w:hAnsi="Ecofont Vera Sans"/>
        <w:b/>
        <w:sz w:val="18"/>
      </w:rPr>
      <w:t>1</w:t>
    </w:r>
    <w:r w:rsidRPr="00900F55">
      <w:rPr>
        <w:rFonts w:ascii="Ecofont Vera Sans" w:hAnsi="Ecofont Vera Sans"/>
        <w:b/>
        <w:sz w:val="18"/>
      </w:rPr>
      <w:fldChar w:fldCharType="end"/>
    </w:r>
    <w:r w:rsidRPr="00900F55">
      <w:rPr>
        <w:rFonts w:ascii="Ecofont Vera Sans" w:hAnsi="Ecofont Vera Sans"/>
        <w:b/>
        <w:sz w:val="18"/>
      </w:rPr>
      <w:t xml:space="preserve"> de </w:t>
    </w:r>
    <w:r>
      <w:rPr>
        <w:rFonts w:ascii="Ecofont Vera Sans" w:hAnsi="Ecofont Vera Sans"/>
        <w:b/>
        <w:sz w:val="18"/>
      </w:rPr>
      <w:fldChar w:fldCharType="begin"/>
    </w:r>
    <w:r>
      <w:rPr>
        <w:rFonts w:ascii="Ecofont Vera Sans" w:hAnsi="Ecofont Vera Sans"/>
        <w:b/>
        <w:sz w:val="18"/>
      </w:rPr>
      <w:instrText xml:space="preserve"> NUMPAGES  \* Arabic  \* MERGEFORMAT </w:instrText>
    </w:r>
    <w:r>
      <w:rPr>
        <w:rFonts w:ascii="Ecofont Vera Sans" w:hAnsi="Ecofont Vera Sans"/>
        <w:b/>
        <w:sz w:val="18"/>
      </w:rPr>
      <w:fldChar w:fldCharType="separate"/>
    </w:r>
    <w:r>
      <w:rPr>
        <w:rFonts w:ascii="Ecofont Vera Sans" w:hAnsi="Ecofont Vera Sans"/>
        <w:b/>
        <w:sz w:val="18"/>
      </w:rPr>
      <w:t>15</w:t>
    </w:r>
    <w:r>
      <w:rPr>
        <w:rFonts w:ascii="Ecofont Vera Sans" w:hAnsi="Ecofont Vera Sans"/>
        <w:b/>
        <w:sz w:val="18"/>
      </w:rPr>
      <w:fldChar w:fldCharType="end"/>
    </w:r>
  </w:p>
  <w:p w14:paraId="54593F34" w14:textId="77777777" w:rsidR="00547AEC" w:rsidRPr="001B6EF8" w:rsidRDefault="00547AEC" w:rsidP="005A3B65">
    <w:pPr>
      <w:pStyle w:val="Rodap"/>
      <w:jc w:val="center"/>
      <w:rPr>
        <w:rFonts w:ascii="Arial" w:hAnsi="Arial" w:cs="Arial"/>
        <w:sz w:val="18"/>
        <w:szCs w:val="18"/>
      </w:rPr>
    </w:pPr>
    <w:r w:rsidRPr="001B6EF8">
      <w:rPr>
        <w:rFonts w:ascii="Arial" w:hAnsi="Arial" w:cs="Arial"/>
        <w:sz w:val="18"/>
        <w:szCs w:val="18"/>
      </w:rPr>
      <w:t xml:space="preserve">Av. Ubirajara </w:t>
    </w:r>
    <w:proofErr w:type="spellStart"/>
    <w:r w:rsidRPr="001B6EF8">
      <w:rPr>
        <w:rFonts w:ascii="Arial" w:hAnsi="Arial" w:cs="Arial"/>
        <w:sz w:val="18"/>
        <w:szCs w:val="18"/>
      </w:rPr>
      <w:t>Berocan</w:t>
    </w:r>
    <w:proofErr w:type="spellEnd"/>
    <w:r w:rsidRPr="001B6EF8">
      <w:rPr>
        <w:rFonts w:ascii="Arial" w:hAnsi="Arial" w:cs="Arial"/>
        <w:sz w:val="18"/>
        <w:szCs w:val="18"/>
      </w:rPr>
      <w:t xml:space="preserve"> Leite, n° 640, Goiânia-GO, CEP 74.674-015. Telefone: (62)3228-</w:t>
    </w:r>
    <w:r>
      <w:rPr>
        <w:rFonts w:ascii="Arial" w:hAnsi="Arial" w:cs="Arial"/>
        <w:sz w:val="18"/>
        <w:szCs w:val="18"/>
      </w:rPr>
      <w:t>2508</w:t>
    </w:r>
  </w:p>
  <w:p w14:paraId="1A3A87BC" w14:textId="77777777" w:rsidR="00547AEC" w:rsidRDefault="00547AE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1BAC3" w14:textId="77777777" w:rsidR="00547AEC" w:rsidRDefault="00547AEC" w:rsidP="004E3221">
      <w:pPr>
        <w:spacing w:after="0" w:line="240" w:lineRule="auto"/>
      </w:pPr>
      <w:r>
        <w:separator/>
      </w:r>
    </w:p>
  </w:footnote>
  <w:footnote w:type="continuationSeparator" w:id="0">
    <w:p w14:paraId="20789E3E" w14:textId="77777777" w:rsidR="00547AEC" w:rsidRDefault="00547AEC" w:rsidP="004E3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76B0" w14:textId="77777777" w:rsidR="00547AEC" w:rsidRDefault="00547AEC" w:rsidP="009C2982">
    <w:pPr>
      <w:keepNext/>
      <w:tabs>
        <w:tab w:val="left" w:pos="566"/>
      </w:tabs>
      <w:autoSpaceDE w:val="0"/>
      <w:spacing w:after="0" w:line="240" w:lineRule="auto"/>
      <w:jc w:val="center"/>
      <w:outlineLvl w:val="0"/>
      <w:rPr>
        <w:rFonts w:ascii="Franklin Gothic Medium" w:hAnsi="Franklin Gothic Medium"/>
        <w:sz w:val="32"/>
        <w:szCs w:val="28"/>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8752" behindDoc="0" locked="0" layoutInCell="1" allowOverlap="1" wp14:anchorId="3D522C52" wp14:editId="147B1418">
          <wp:simplePos x="0" y="0"/>
          <wp:positionH relativeFrom="column">
            <wp:posOffset>39578</wp:posOffset>
          </wp:positionH>
          <wp:positionV relativeFrom="paragraph">
            <wp:posOffset>95250</wp:posOffset>
          </wp:positionV>
          <wp:extent cx="838200" cy="4870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8704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Medium" w:hAnsi="Franklin Gothic Medium"/>
        <w:sz w:val="32"/>
        <w:szCs w:val="28"/>
        <w14:shadow w14:blurRad="50800" w14:dist="38100" w14:dir="2700000" w14:sx="100000" w14:sy="100000" w14:kx="0" w14:ky="0" w14:algn="tl">
          <w14:srgbClr w14:val="000000">
            <w14:alpha w14:val="60000"/>
          </w14:srgbClr>
        </w14:shadow>
      </w:rPr>
      <w:t>TRIBUNAL DE CONTAS DO ESTADO DE GOIÁS</w:t>
    </w:r>
  </w:p>
  <w:p w14:paraId="56951348" w14:textId="77777777" w:rsidR="00547AEC" w:rsidRDefault="00547AEC" w:rsidP="00AF121A">
    <w:pPr>
      <w:keepNext/>
      <w:widowControl w:val="0"/>
      <w:numPr>
        <w:ilvl w:val="0"/>
        <w:numId w:val="5"/>
      </w:numPr>
      <w:tabs>
        <w:tab w:val="clear" w:pos="0"/>
        <w:tab w:val="left" w:pos="283"/>
        <w:tab w:val="left" w:pos="566"/>
      </w:tabs>
      <w:suppressAutoHyphens/>
      <w:autoSpaceDE w:val="0"/>
      <w:spacing w:after="0" w:line="240" w:lineRule="auto"/>
      <w:jc w:val="center"/>
      <w:outlineLvl w:val="0"/>
      <w:rPr>
        <w:rFonts w:ascii="Arial" w:hAnsi="Arial" w:cs="Arial"/>
        <w:b/>
        <w:bCs/>
      </w:rPr>
    </w:pPr>
    <w:r>
      <w:rPr>
        <w:rFonts w:ascii="Arial" w:hAnsi="Arial" w:cs="Arial"/>
        <w:b/>
        <w:bCs/>
      </w:rPr>
      <w:t>GERÊNCIA DE ADMINISTRAÇÃO</w:t>
    </w:r>
  </w:p>
  <w:p w14:paraId="301186BA" w14:textId="3C853017" w:rsidR="00547AEC" w:rsidRDefault="00547AEC" w:rsidP="009C2982">
    <w:pPr>
      <w:spacing w:after="0" w:line="240" w:lineRule="auto"/>
      <w:jc w:val="center"/>
      <w:rPr>
        <w:rFonts w:ascii="Franklin Gothic Medium" w:hAnsi="Franklin Gothic Medium"/>
        <w:bCs/>
      </w:rPr>
    </w:pPr>
    <w:r>
      <w:rPr>
        <w:rFonts w:ascii="Franklin Gothic Medium" w:hAnsi="Franklin Gothic Medium"/>
        <w:bCs/>
      </w:rPr>
      <w:t>Serviço de Infraestrutura Predial</w:t>
    </w:r>
  </w:p>
  <w:p w14:paraId="2B6A51AF" w14:textId="77777777" w:rsidR="00547AEC" w:rsidRPr="009C2982" w:rsidRDefault="00547AEC" w:rsidP="009C298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00000004"/>
    <w:name w:val="WW8Num7"/>
    <w:lvl w:ilvl="0">
      <w:start w:val="1"/>
      <w:numFmt w:val="decimal"/>
      <w:lvlText w:val="%1."/>
      <w:lvlJc w:val="left"/>
      <w:pPr>
        <w:tabs>
          <w:tab w:val="num" w:pos="0"/>
        </w:tabs>
        <w:ind w:left="360" w:hanging="360"/>
      </w:pPr>
      <w:rPr>
        <w:b/>
        <w:sz w:val="24"/>
        <w:szCs w:val="24"/>
      </w:rPr>
    </w:lvl>
    <w:lvl w:ilvl="1">
      <w:start w:val="1"/>
      <w:numFmt w:val="decimal"/>
      <w:suff w:val="space"/>
      <w:lvlText w:val="%1.%2."/>
      <w:lvlJc w:val="left"/>
      <w:pPr>
        <w:tabs>
          <w:tab w:val="num" w:pos="0"/>
        </w:tabs>
        <w:ind w:left="792" w:hanging="432"/>
      </w:pPr>
      <w:rPr>
        <w:b w:val="0"/>
      </w:rPr>
    </w:lvl>
    <w:lvl w:ilvl="2">
      <w:start w:val="1"/>
      <w:numFmt w:val="decimal"/>
      <w:lvlText w:val="%1.%2.%3."/>
      <w:lvlJc w:val="left"/>
      <w:pPr>
        <w:tabs>
          <w:tab w:val="num" w:pos="0"/>
        </w:tabs>
        <w:ind w:left="1224" w:hanging="504"/>
      </w:pPr>
      <w:rPr>
        <w:b w:val="0"/>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74E63BC"/>
    <w:multiLevelType w:val="multilevel"/>
    <w:tmpl w:val="527832B2"/>
    <w:styleLink w:val="EstiloAnexo"/>
    <w:lvl w:ilvl="0">
      <w:start w:val="1"/>
      <w:numFmt w:val="decimal"/>
      <w:pStyle w:val="AnexoII"/>
      <w:lvlText w:val="A%1."/>
      <w:lvlJc w:val="left"/>
      <w:pPr>
        <w:ind w:left="927" w:hanging="360"/>
      </w:pPr>
      <w:rPr>
        <w:rFonts w:hint="default"/>
        <w:b/>
        <w:sz w:val="20"/>
      </w:rPr>
    </w:lvl>
    <w:lvl w:ilvl="1">
      <w:start w:val="1"/>
      <w:numFmt w:val="decimal"/>
      <w:pStyle w:val="Ttulo7"/>
      <w:lvlText w:val="A%1.%2."/>
      <w:lvlJc w:val="left"/>
      <w:pPr>
        <w:ind w:left="2150" w:hanging="360"/>
      </w:pPr>
      <w:rPr>
        <w:rFonts w:hint="default"/>
        <w:b/>
        <w:sz w:val="20"/>
      </w:rPr>
    </w:lvl>
    <w:lvl w:ilvl="2">
      <w:start w:val="1"/>
      <w:numFmt w:val="lowerRoman"/>
      <w:lvlText w:val="%3."/>
      <w:lvlJc w:val="right"/>
      <w:pPr>
        <w:ind w:left="2870" w:hanging="180"/>
      </w:pPr>
      <w:rPr>
        <w:rFonts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3" w15:restartNumberingAfterBreak="0">
    <w:nsid w:val="28E80990"/>
    <w:multiLevelType w:val="multilevel"/>
    <w:tmpl w:val="320A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182"/>
    <w:multiLevelType w:val="multilevel"/>
    <w:tmpl w:val="1D88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E7705"/>
    <w:multiLevelType w:val="multilevel"/>
    <w:tmpl w:val="7A98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65B11"/>
    <w:multiLevelType w:val="multilevel"/>
    <w:tmpl w:val="74CC2906"/>
    <w:lvl w:ilvl="0">
      <w:start w:val="1"/>
      <w:numFmt w:val="decimal"/>
      <w:pStyle w:val="ANEXO-PARAGRAFO"/>
      <w:lvlText w:val="%1."/>
      <w:lvlJc w:val="left"/>
      <w:pPr>
        <w:ind w:left="720" w:hanging="360"/>
      </w:pPr>
      <w:rPr>
        <w:b/>
        <w:color w:val="auto"/>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5C1453"/>
    <w:multiLevelType w:val="multilevel"/>
    <w:tmpl w:val="E276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7B3D5C"/>
    <w:multiLevelType w:val="multilevel"/>
    <w:tmpl w:val="527832B2"/>
    <w:numStyleLink w:val="EstiloAnexo"/>
  </w:abstractNum>
  <w:abstractNum w:abstractNumId="9" w15:restartNumberingAfterBreak="0">
    <w:nsid w:val="6E1C6485"/>
    <w:multiLevelType w:val="multilevel"/>
    <w:tmpl w:val="6BA875FC"/>
    <w:lvl w:ilvl="0">
      <w:start w:val="1"/>
      <w:numFmt w:val="decimal"/>
      <w:pStyle w:val="Ttulo1"/>
      <w:lvlText w:val="%1."/>
      <w:lvlJc w:val="left"/>
      <w:pPr>
        <w:ind w:left="360" w:hanging="360"/>
      </w:pPr>
      <w:rPr>
        <w:rFonts w:hint="default"/>
      </w:rPr>
    </w:lvl>
    <w:lvl w:ilvl="1">
      <w:start w:val="1"/>
      <w:numFmt w:val="decimal"/>
      <w:pStyle w:val="Ttulo2"/>
      <w:lvlText w:val="%1.%2."/>
      <w:lvlJc w:val="left"/>
      <w:pPr>
        <w:ind w:left="737" w:hanging="595"/>
      </w:pPr>
      <w:rPr>
        <w:rFonts w:hint="default"/>
        <w:b/>
        <w:color w:val="auto"/>
      </w:rPr>
    </w:lvl>
    <w:lvl w:ilvl="2">
      <w:start w:val="1"/>
      <w:numFmt w:val="decimal"/>
      <w:pStyle w:val="Ttulo3"/>
      <w:lvlText w:val="%1.%2.%3."/>
      <w:lvlJc w:val="left"/>
      <w:pPr>
        <w:ind w:left="1531" w:hanging="811"/>
      </w:pPr>
      <w:rPr>
        <w:rFonts w:hint="default"/>
        <w:b/>
        <w:color w:val="auto"/>
      </w:rPr>
    </w:lvl>
    <w:lvl w:ilvl="3">
      <w:start w:val="1"/>
      <w:numFmt w:val="decimal"/>
      <w:pStyle w:val="Ttulo4"/>
      <w:lvlText w:val="%1.%2.%3.%4."/>
      <w:lvlJc w:val="left"/>
      <w:pPr>
        <w:ind w:left="1728" w:hanging="648"/>
      </w:pPr>
      <w:rPr>
        <w:rFonts w:ascii="Arial" w:hAnsi="Arial" w:hint="default"/>
        <w:b/>
        <w:i w:val="0"/>
      </w:rPr>
    </w:lvl>
    <w:lvl w:ilvl="4">
      <w:start w:val="1"/>
      <w:numFmt w:val="decimal"/>
      <w:pStyle w:val="Ttulo5"/>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6"/>
  </w:num>
  <w:num w:numId="3">
    <w:abstractNumId w:val="2"/>
  </w:num>
  <w:num w:numId="4">
    <w:abstractNumId w:val="8"/>
    <w:lvlOverride w:ilvl="0">
      <w:lvl w:ilvl="0">
        <w:start w:val="1"/>
        <w:numFmt w:val="decimal"/>
        <w:pStyle w:val="AnexoII"/>
        <w:lvlText w:val="A%1."/>
        <w:lvlJc w:val="left"/>
        <w:pPr>
          <w:ind w:left="927" w:hanging="360"/>
        </w:pPr>
        <w:rPr>
          <w:rFonts w:hint="default"/>
          <w:b/>
          <w:sz w:val="20"/>
        </w:rPr>
      </w:lvl>
    </w:lvlOverride>
    <w:lvlOverride w:ilvl="1">
      <w:lvl w:ilvl="1">
        <w:start w:val="1"/>
        <w:numFmt w:val="decimal"/>
        <w:pStyle w:val="Ttulo7"/>
        <w:lvlText w:val="A%1.%2."/>
        <w:lvlJc w:val="left"/>
        <w:pPr>
          <w:ind w:left="2150" w:hanging="360"/>
        </w:pPr>
        <w:rPr>
          <w:rFonts w:hint="default"/>
          <w:b/>
          <w:sz w:val="20"/>
        </w:rPr>
      </w:lvl>
    </w:lvlOverride>
    <w:lvlOverride w:ilvl="2">
      <w:lvl w:ilvl="2">
        <w:start w:val="1"/>
        <w:numFmt w:val="lowerRoman"/>
        <w:lvlText w:val="%3."/>
        <w:lvlJc w:val="right"/>
        <w:pPr>
          <w:ind w:left="2870" w:hanging="180"/>
        </w:pPr>
        <w:rPr>
          <w:rFonts w:hint="default"/>
        </w:rPr>
      </w:lvl>
    </w:lvlOverride>
    <w:lvlOverride w:ilvl="3">
      <w:lvl w:ilvl="3">
        <w:start w:val="1"/>
        <w:numFmt w:val="decimal"/>
        <w:lvlText w:val="%4."/>
        <w:lvlJc w:val="left"/>
        <w:pPr>
          <w:ind w:left="3590" w:hanging="360"/>
        </w:pPr>
        <w:rPr>
          <w:rFonts w:hint="default"/>
        </w:rPr>
      </w:lvl>
    </w:lvlOverride>
    <w:lvlOverride w:ilvl="4">
      <w:lvl w:ilvl="4">
        <w:start w:val="1"/>
        <w:numFmt w:val="lowerLetter"/>
        <w:lvlText w:val="%5."/>
        <w:lvlJc w:val="left"/>
        <w:pPr>
          <w:ind w:left="4310" w:hanging="360"/>
        </w:pPr>
        <w:rPr>
          <w:rFonts w:hint="default"/>
        </w:rPr>
      </w:lvl>
    </w:lvlOverride>
    <w:lvlOverride w:ilvl="5">
      <w:lvl w:ilvl="5">
        <w:start w:val="1"/>
        <w:numFmt w:val="lowerRoman"/>
        <w:lvlText w:val="%6."/>
        <w:lvlJc w:val="right"/>
        <w:pPr>
          <w:ind w:left="5030" w:hanging="180"/>
        </w:pPr>
        <w:rPr>
          <w:rFonts w:hint="default"/>
        </w:rPr>
      </w:lvl>
    </w:lvlOverride>
    <w:lvlOverride w:ilvl="6">
      <w:lvl w:ilvl="6">
        <w:start w:val="1"/>
        <w:numFmt w:val="decimal"/>
        <w:lvlText w:val="%7."/>
        <w:lvlJc w:val="left"/>
        <w:pPr>
          <w:ind w:left="5750" w:hanging="360"/>
        </w:pPr>
        <w:rPr>
          <w:rFonts w:hint="default"/>
        </w:rPr>
      </w:lvl>
    </w:lvlOverride>
    <w:lvlOverride w:ilvl="7">
      <w:lvl w:ilvl="7">
        <w:start w:val="1"/>
        <w:numFmt w:val="lowerLetter"/>
        <w:lvlText w:val="%8."/>
        <w:lvlJc w:val="left"/>
        <w:pPr>
          <w:ind w:left="6470" w:hanging="360"/>
        </w:pPr>
        <w:rPr>
          <w:rFonts w:hint="default"/>
        </w:rPr>
      </w:lvl>
    </w:lvlOverride>
    <w:lvlOverride w:ilvl="8">
      <w:lvl w:ilvl="8">
        <w:start w:val="1"/>
        <w:numFmt w:val="lowerRoman"/>
        <w:lvlText w:val="%9."/>
        <w:lvlJc w:val="right"/>
        <w:pPr>
          <w:ind w:left="7190" w:hanging="180"/>
        </w:pPr>
        <w:rPr>
          <w:rFonts w:hint="default"/>
        </w:rPr>
      </w:lvl>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 w:ilvl="0">
        <w:start w:val="1"/>
        <w:numFmt w:val="decimal"/>
        <w:pStyle w:val="AnexoII"/>
        <w:lvlText w:val="A%1."/>
        <w:lvlJc w:val="left"/>
        <w:pPr>
          <w:ind w:left="927" w:hanging="360"/>
        </w:pPr>
        <w:rPr>
          <w:rFonts w:hint="default"/>
          <w:b/>
          <w:sz w:val="20"/>
        </w:rPr>
      </w:lvl>
    </w:lvlOverride>
    <w:lvlOverride w:ilvl="1">
      <w:lvl w:ilvl="1">
        <w:start w:val="1"/>
        <w:numFmt w:val="decimal"/>
        <w:pStyle w:val="Ttulo7"/>
        <w:lvlText w:val="A%1.%2."/>
        <w:lvlJc w:val="left"/>
        <w:pPr>
          <w:ind w:left="2150" w:hanging="360"/>
        </w:pPr>
        <w:rPr>
          <w:rFonts w:hint="default"/>
          <w:b/>
          <w:color w:val="auto"/>
          <w:sz w:val="20"/>
        </w:rPr>
      </w:lvl>
    </w:lvlOverride>
    <w:lvlOverride w:ilvl="2">
      <w:lvl w:ilvl="2">
        <w:start w:val="1"/>
        <w:numFmt w:val="lowerRoman"/>
        <w:lvlText w:val="%3."/>
        <w:lvlJc w:val="right"/>
        <w:pPr>
          <w:ind w:left="2870" w:hanging="180"/>
        </w:pPr>
        <w:rPr>
          <w:rFonts w:hint="default"/>
        </w:rPr>
      </w:lvl>
    </w:lvlOverride>
    <w:lvlOverride w:ilvl="3">
      <w:lvl w:ilvl="3">
        <w:start w:val="1"/>
        <w:numFmt w:val="decimal"/>
        <w:lvlText w:val="%4."/>
        <w:lvlJc w:val="left"/>
        <w:pPr>
          <w:ind w:left="3590" w:hanging="360"/>
        </w:pPr>
        <w:rPr>
          <w:rFonts w:hint="default"/>
        </w:rPr>
      </w:lvl>
    </w:lvlOverride>
    <w:lvlOverride w:ilvl="4">
      <w:lvl w:ilvl="4">
        <w:start w:val="1"/>
        <w:numFmt w:val="lowerLetter"/>
        <w:lvlText w:val="%5."/>
        <w:lvlJc w:val="left"/>
        <w:pPr>
          <w:ind w:left="4310" w:hanging="360"/>
        </w:pPr>
        <w:rPr>
          <w:rFonts w:hint="default"/>
        </w:rPr>
      </w:lvl>
    </w:lvlOverride>
    <w:lvlOverride w:ilvl="5">
      <w:lvl w:ilvl="5">
        <w:start w:val="1"/>
        <w:numFmt w:val="lowerRoman"/>
        <w:lvlText w:val="%6."/>
        <w:lvlJc w:val="right"/>
        <w:pPr>
          <w:ind w:left="5030" w:hanging="180"/>
        </w:pPr>
        <w:rPr>
          <w:rFonts w:hint="default"/>
        </w:rPr>
      </w:lvl>
    </w:lvlOverride>
    <w:lvlOverride w:ilvl="6">
      <w:lvl w:ilvl="6">
        <w:start w:val="1"/>
        <w:numFmt w:val="decimal"/>
        <w:lvlText w:val="%7."/>
        <w:lvlJc w:val="left"/>
        <w:pPr>
          <w:ind w:left="5750" w:hanging="360"/>
        </w:pPr>
        <w:rPr>
          <w:rFonts w:hint="default"/>
        </w:rPr>
      </w:lvl>
    </w:lvlOverride>
    <w:lvlOverride w:ilvl="7">
      <w:lvl w:ilvl="7">
        <w:start w:val="1"/>
        <w:numFmt w:val="lowerLetter"/>
        <w:lvlText w:val="%8."/>
        <w:lvlJc w:val="left"/>
        <w:pPr>
          <w:ind w:left="6470" w:hanging="360"/>
        </w:pPr>
        <w:rPr>
          <w:rFonts w:hint="default"/>
        </w:rPr>
      </w:lvl>
    </w:lvlOverride>
    <w:lvlOverride w:ilvl="8">
      <w:lvl w:ilvl="8">
        <w:start w:val="1"/>
        <w:numFmt w:val="lowerRoman"/>
        <w:lvlText w:val="%9."/>
        <w:lvlJc w:val="right"/>
        <w:pPr>
          <w:ind w:left="7190" w:hanging="180"/>
        </w:pPr>
        <w:rPr>
          <w:rFonts w:hint="default"/>
        </w:rPr>
      </w:lvl>
    </w:lvlOverride>
  </w:num>
  <w:num w:numId="7">
    <w:abstractNumId w:val="8"/>
    <w:lvlOverride w:ilvl="0">
      <w:startOverride w:val="1"/>
      <w:lvl w:ilvl="0">
        <w:start w:val="1"/>
        <w:numFmt w:val="decimal"/>
        <w:pStyle w:val="AnexoII"/>
        <w:lvlText w:val="A%1."/>
        <w:lvlJc w:val="left"/>
        <w:pPr>
          <w:ind w:left="927" w:hanging="360"/>
        </w:pPr>
        <w:rPr>
          <w:rFonts w:hint="default"/>
          <w:b/>
          <w:sz w:val="20"/>
        </w:rPr>
      </w:lvl>
    </w:lvlOverride>
    <w:lvlOverride w:ilvl="1">
      <w:startOverride w:val="1"/>
      <w:lvl w:ilvl="1">
        <w:start w:val="1"/>
        <w:numFmt w:val="decimal"/>
        <w:pStyle w:val="Ttulo7"/>
        <w:lvlText w:val="A%1.%2."/>
        <w:lvlJc w:val="left"/>
        <w:pPr>
          <w:ind w:left="2150" w:hanging="360"/>
        </w:pPr>
        <w:rPr>
          <w:rFonts w:hint="default"/>
          <w:b/>
          <w:sz w:val="20"/>
        </w:rPr>
      </w:lvl>
    </w:lvlOverride>
    <w:lvlOverride w:ilvl="2">
      <w:startOverride w:val="1"/>
      <w:lvl w:ilvl="2">
        <w:start w:val="1"/>
        <w:numFmt w:val="lowerRoman"/>
        <w:lvlText w:val="%3."/>
        <w:lvlJc w:val="right"/>
        <w:pPr>
          <w:ind w:left="2870" w:hanging="180"/>
        </w:pPr>
        <w:rPr>
          <w:rFonts w:hint="default"/>
        </w:rPr>
      </w:lvl>
    </w:lvlOverride>
    <w:lvlOverride w:ilvl="3">
      <w:startOverride w:val="1"/>
      <w:lvl w:ilvl="3">
        <w:start w:val="1"/>
        <w:numFmt w:val="decimal"/>
        <w:lvlText w:val="%4."/>
        <w:lvlJc w:val="left"/>
        <w:pPr>
          <w:ind w:left="3590" w:hanging="360"/>
        </w:pPr>
        <w:rPr>
          <w:rFonts w:hint="default"/>
        </w:rPr>
      </w:lvl>
    </w:lvlOverride>
    <w:lvlOverride w:ilvl="4">
      <w:startOverride w:val="1"/>
      <w:lvl w:ilvl="4">
        <w:start w:val="1"/>
        <w:numFmt w:val="lowerLetter"/>
        <w:lvlText w:val="%5."/>
        <w:lvlJc w:val="left"/>
        <w:pPr>
          <w:ind w:left="4310" w:hanging="360"/>
        </w:pPr>
        <w:rPr>
          <w:rFonts w:hint="default"/>
        </w:rPr>
      </w:lvl>
    </w:lvlOverride>
    <w:lvlOverride w:ilvl="5">
      <w:startOverride w:val="1"/>
      <w:lvl w:ilvl="5">
        <w:start w:val="1"/>
        <w:numFmt w:val="lowerRoman"/>
        <w:lvlText w:val="%6."/>
        <w:lvlJc w:val="right"/>
        <w:pPr>
          <w:ind w:left="5030" w:hanging="180"/>
        </w:pPr>
        <w:rPr>
          <w:rFonts w:hint="default"/>
        </w:rPr>
      </w:lvl>
    </w:lvlOverride>
    <w:lvlOverride w:ilvl="6">
      <w:startOverride w:val="1"/>
      <w:lvl w:ilvl="6">
        <w:start w:val="1"/>
        <w:numFmt w:val="decimal"/>
        <w:lvlText w:val="%7."/>
        <w:lvlJc w:val="left"/>
        <w:pPr>
          <w:ind w:left="5750" w:hanging="360"/>
        </w:pPr>
        <w:rPr>
          <w:rFonts w:hint="default"/>
        </w:rPr>
      </w:lvl>
    </w:lvlOverride>
    <w:lvlOverride w:ilvl="7">
      <w:startOverride w:val="1"/>
      <w:lvl w:ilvl="7">
        <w:start w:val="1"/>
        <w:numFmt w:val="lowerLetter"/>
        <w:lvlText w:val="%8."/>
        <w:lvlJc w:val="left"/>
        <w:pPr>
          <w:ind w:left="6470" w:hanging="360"/>
        </w:pPr>
        <w:rPr>
          <w:rFonts w:hint="default"/>
        </w:rPr>
      </w:lvl>
    </w:lvlOverride>
    <w:lvlOverride w:ilvl="8">
      <w:startOverride w:val="1"/>
      <w:lvl w:ilvl="8">
        <w:start w:val="1"/>
        <w:numFmt w:val="lowerRoman"/>
        <w:lvlText w:val="%9."/>
        <w:lvlJc w:val="right"/>
        <w:pPr>
          <w:ind w:left="7190" w:hanging="180"/>
        </w:pPr>
        <w:rPr>
          <w:rFonts w:hint="default"/>
        </w:rPr>
      </w:lvl>
    </w:lvlOverride>
  </w:num>
  <w:num w:numId="8">
    <w:abstractNumId w:val="8"/>
    <w:lvlOverride w:ilvl="0">
      <w:lvl w:ilvl="0">
        <w:start w:val="1"/>
        <w:numFmt w:val="decimal"/>
        <w:pStyle w:val="AnexoII"/>
        <w:lvlText w:val="A%1."/>
        <w:lvlJc w:val="left"/>
        <w:pPr>
          <w:ind w:left="927" w:hanging="360"/>
        </w:pPr>
        <w:rPr>
          <w:rFonts w:hint="default"/>
          <w:b/>
          <w:sz w:val="20"/>
        </w:rPr>
      </w:lvl>
    </w:lvlOverride>
    <w:lvlOverride w:ilvl="1">
      <w:lvl w:ilvl="1">
        <w:start w:val="1"/>
        <w:numFmt w:val="decimal"/>
        <w:pStyle w:val="Ttulo7"/>
        <w:lvlText w:val="A%1.%2."/>
        <w:lvlJc w:val="left"/>
        <w:pPr>
          <w:ind w:left="2150" w:hanging="360"/>
        </w:pPr>
        <w:rPr>
          <w:rFonts w:hint="default"/>
          <w:b/>
          <w:sz w:val="20"/>
        </w:rPr>
      </w:lvl>
    </w:lvlOverride>
    <w:lvlOverride w:ilvl="2">
      <w:lvl w:ilvl="2">
        <w:start w:val="1"/>
        <w:numFmt w:val="lowerRoman"/>
        <w:lvlText w:val="%3."/>
        <w:lvlJc w:val="right"/>
        <w:pPr>
          <w:ind w:left="2870" w:hanging="180"/>
        </w:pPr>
        <w:rPr>
          <w:rFonts w:hint="default"/>
        </w:rPr>
      </w:lvl>
    </w:lvlOverride>
    <w:lvlOverride w:ilvl="3">
      <w:lvl w:ilvl="3">
        <w:start w:val="1"/>
        <w:numFmt w:val="decimal"/>
        <w:lvlText w:val="%4."/>
        <w:lvlJc w:val="left"/>
        <w:pPr>
          <w:ind w:left="3590" w:hanging="360"/>
        </w:pPr>
        <w:rPr>
          <w:rFonts w:hint="default"/>
        </w:rPr>
      </w:lvl>
    </w:lvlOverride>
    <w:lvlOverride w:ilvl="4">
      <w:lvl w:ilvl="4">
        <w:start w:val="1"/>
        <w:numFmt w:val="lowerLetter"/>
        <w:lvlText w:val="%5."/>
        <w:lvlJc w:val="left"/>
        <w:pPr>
          <w:ind w:left="4310" w:hanging="360"/>
        </w:pPr>
        <w:rPr>
          <w:rFonts w:hint="default"/>
        </w:rPr>
      </w:lvl>
    </w:lvlOverride>
    <w:lvlOverride w:ilvl="5">
      <w:lvl w:ilvl="5">
        <w:start w:val="1"/>
        <w:numFmt w:val="lowerRoman"/>
        <w:lvlText w:val="%6."/>
        <w:lvlJc w:val="right"/>
        <w:pPr>
          <w:ind w:left="5030" w:hanging="180"/>
        </w:pPr>
        <w:rPr>
          <w:rFonts w:hint="default"/>
        </w:rPr>
      </w:lvl>
    </w:lvlOverride>
    <w:lvlOverride w:ilvl="6">
      <w:lvl w:ilvl="6">
        <w:start w:val="1"/>
        <w:numFmt w:val="decimal"/>
        <w:lvlText w:val="%7."/>
        <w:lvlJc w:val="left"/>
        <w:pPr>
          <w:ind w:left="5750" w:hanging="360"/>
        </w:pPr>
        <w:rPr>
          <w:rFonts w:hint="default"/>
        </w:rPr>
      </w:lvl>
    </w:lvlOverride>
    <w:lvlOverride w:ilvl="7">
      <w:lvl w:ilvl="7">
        <w:start w:val="1"/>
        <w:numFmt w:val="lowerLetter"/>
        <w:lvlText w:val="%8."/>
        <w:lvlJc w:val="left"/>
        <w:pPr>
          <w:ind w:left="6470" w:hanging="360"/>
        </w:pPr>
        <w:rPr>
          <w:rFonts w:hint="default"/>
        </w:rPr>
      </w:lvl>
    </w:lvlOverride>
    <w:lvlOverride w:ilvl="8">
      <w:lvl w:ilvl="8">
        <w:start w:val="1"/>
        <w:numFmt w:val="lowerRoman"/>
        <w:lvlText w:val="%9."/>
        <w:lvlJc w:val="right"/>
        <w:pPr>
          <w:ind w:left="7190" w:hanging="180"/>
        </w:pPr>
        <w:rPr>
          <w:rFonts w:hint="default"/>
        </w:rPr>
      </w:lvl>
    </w:lvlOverride>
  </w:num>
  <w:num w:numId="9">
    <w:abstractNumId w:val="8"/>
    <w:lvlOverride w:ilvl="0">
      <w:lvl w:ilvl="0">
        <w:start w:val="1"/>
        <w:numFmt w:val="decimal"/>
        <w:pStyle w:val="AnexoII"/>
        <w:lvlText w:val="A%1."/>
        <w:lvlJc w:val="left"/>
        <w:pPr>
          <w:ind w:left="927" w:hanging="360"/>
        </w:pPr>
        <w:rPr>
          <w:rFonts w:hint="default"/>
          <w:b/>
          <w:sz w:val="20"/>
        </w:rPr>
      </w:lvl>
    </w:lvlOverride>
    <w:lvlOverride w:ilvl="1">
      <w:lvl w:ilvl="1">
        <w:start w:val="1"/>
        <w:numFmt w:val="decimal"/>
        <w:pStyle w:val="Ttulo7"/>
        <w:lvlText w:val="A%1.%2."/>
        <w:lvlJc w:val="left"/>
        <w:pPr>
          <w:ind w:left="2150" w:hanging="360"/>
        </w:pPr>
        <w:rPr>
          <w:rFonts w:hint="default"/>
          <w:b/>
          <w:sz w:val="20"/>
        </w:rPr>
      </w:lvl>
    </w:lvlOverride>
    <w:lvlOverride w:ilvl="2">
      <w:lvl w:ilvl="2">
        <w:start w:val="1"/>
        <w:numFmt w:val="lowerRoman"/>
        <w:lvlText w:val="%3."/>
        <w:lvlJc w:val="right"/>
        <w:pPr>
          <w:ind w:left="2870" w:hanging="180"/>
        </w:pPr>
        <w:rPr>
          <w:rFonts w:hint="default"/>
        </w:rPr>
      </w:lvl>
    </w:lvlOverride>
    <w:lvlOverride w:ilvl="3">
      <w:lvl w:ilvl="3">
        <w:start w:val="1"/>
        <w:numFmt w:val="decimal"/>
        <w:lvlText w:val="%4."/>
        <w:lvlJc w:val="left"/>
        <w:pPr>
          <w:ind w:left="3590" w:hanging="360"/>
        </w:pPr>
        <w:rPr>
          <w:rFonts w:hint="default"/>
        </w:rPr>
      </w:lvl>
    </w:lvlOverride>
    <w:lvlOverride w:ilvl="4">
      <w:lvl w:ilvl="4">
        <w:start w:val="1"/>
        <w:numFmt w:val="lowerLetter"/>
        <w:lvlText w:val="%5."/>
        <w:lvlJc w:val="left"/>
        <w:pPr>
          <w:ind w:left="4310" w:hanging="360"/>
        </w:pPr>
        <w:rPr>
          <w:rFonts w:hint="default"/>
        </w:rPr>
      </w:lvl>
    </w:lvlOverride>
    <w:lvlOverride w:ilvl="5">
      <w:lvl w:ilvl="5">
        <w:start w:val="1"/>
        <w:numFmt w:val="lowerRoman"/>
        <w:lvlText w:val="%6."/>
        <w:lvlJc w:val="right"/>
        <w:pPr>
          <w:ind w:left="5030" w:hanging="180"/>
        </w:pPr>
        <w:rPr>
          <w:rFonts w:hint="default"/>
        </w:rPr>
      </w:lvl>
    </w:lvlOverride>
    <w:lvlOverride w:ilvl="6">
      <w:lvl w:ilvl="6">
        <w:start w:val="1"/>
        <w:numFmt w:val="decimal"/>
        <w:lvlText w:val="%7."/>
        <w:lvlJc w:val="left"/>
        <w:pPr>
          <w:ind w:left="5750" w:hanging="360"/>
        </w:pPr>
        <w:rPr>
          <w:rFonts w:hint="default"/>
        </w:rPr>
      </w:lvl>
    </w:lvlOverride>
    <w:lvlOverride w:ilvl="7">
      <w:lvl w:ilvl="7">
        <w:start w:val="1"/>
        <w:numFmt w:val="lowerLetter"/>
        <w:lvlText w:val="%8."/>
        <w:lvlJc w:val="left"/>
        <w:pPr>
          <w:ind w:left="6470" w:hanging="360"/>
        </w:pPr>
        <w:rPr>
          <w:rFonts w:hint="default"/>
        </w:rPr>
      </w:lvl>
    </w:lvlOverride>
    <w:lvlOverride w:ilvl="8">
      <w:lvl w:ilvl="8">
        <w:start w:val="1"/>
        <w:numFmt w:val="lowerRoman"/>
        <w:lvlText w:val="%9."/>
        <w:lvlJc w:val="right"/>
        <w:pPr>
          <w:ind w:left="7190" w:hanging="180"/>
        </w:pPr>
        <w:rPr>
          <w:rFonts w:hint="default"/>
        </w:rPr>
      </w:lvl>
    </w:lvlOverride>
  </w:num>
  <w:num w:numId="10">
    <w:abstractNumId w:val="8"/>
    <w:lvlOverride w:ilvl="0">
      <w:startOverride w:val="1"/>
      <w:lvl w:ilvl="0">
        <w:start w:val="1"/>
        <w:numFmt w:val="decimal"/>
        <w:pStyle w:val="AnexoII"/>
        <w:lvlText w:val="A%1."/>
        <w:lvlJc w:val="left"/>
        <w:pPr>
          <w:ind w:left="927" w:hanging="360"/>
        </w:pPr>
        <w:rPr>
          <w:rFonts w:hint="default"/>
          <w:b/>
          <w:sz w:val="20"/>
        </w:rPr>
      </w:lvl>
    </w:lvlOverride>
    <w:lvlOverride w:ilvl="1">
      <w:startOverride w:val="1"/>
      <w:lvl w:ilvl="1">
        <w:start w:val="1"/>
        <w:numFmt w:val="decimal"/>
        <w:pStyle w:val="Ttulo7"/>
        <w:lvlText w:val="A%1.%2."/>
        <w:lvlJc w:val="left"/>
        <w:pPr>
          <w:ind w:left="2150" w:hanging="360"/>
        </w:pPr>
        <w:rPr>
          <w:rFonts w:hint="default"/>
          <w:b/>
          <w:sz w:val="20"/>
        </w:rPr>
      </w:lvl>
    </w:lvlOverride>
    <w:lvlOverride w:ilvl="2">
      <w:startOverride w:val="1"/>
      <w:lvl w:ilvl="2">
        <w:start w:val="1"/>
        <w:numFmt w:val="lowerRoman"/>
        <w:lvlText w:val="%3."/>
        <w:lvlJc w:val="right"/>
        <w:pPr>
          <w:ind w:left="2870" w:hanging="180"/>
        </w:pPr>
        <w:rPr>
          <w:rFonts w:hint="default"/>
        </w:rPr>
      </w:lvl>
    </w:lvlOverride>
    <w:lvlOverride w:ilvl="3">
      <w:startOverride w:val="1"/>
      <w:lvl w:ilvl="3">
        <w:start w:val="1"/>
        <w:numFmt w:val="decimal"/>
        <w:lvlText w:val="%4."/>
        <w:lvlJc w:val="left"/>
        <w:pPr>
          <w:ind w:left="3590" w:hanging="360"/>
        </w:pPr>
        <w:rPr>
          <w:rFonts w:hint="default"/>
        </w:rPr>
      </w:lvl>
    </w:lvlOverride>
    <w:lvlOverride w:ilvl="4">
      <w:startOverride w:val="1"/>
      <w:lvl w:ilvl="4">
        <w:start w:val="1"/>
        <w:numFmt w:val="lowerLetter"/>
        <w:lvlText w:val="%5."/>
        <w:lvlJc w:val="left"/>
        <w:pPr>
          <w:ind w:left="4310" w:hanging="360"/>
        </w:pPr>
        <w:rPr>
          <w:rFonts w:hint="default"/>
        </w:rPr>
      </w:lvl>
    </w:lvlOverride>
    <w:lvlOverride w:ilvl="5">
      <w:startOverride w:val="1"/>
      <w:lvl w:ilvl="5">
        <w:start w:val="1"/>
        <w:numFmt w:val="lowerRoman"/>
        <w:lvlText w:val="%6."/>
        <w:lvlJc w:val="right"/>
        <w:pPr>
          <w:ind w:left="5030" w:hanging="180"/>
        </w:pPr>
        <w:rPr>
          <w:rFonts w:hint="default"/>
        </w:rPr>
      </w:lvl>
    </w:lvlOverride>
    <w:lvlOverride w:ilvl="6">
      <w:startOverride w:val="1"/>
      <w:lvl w:ilvl="6">
        <w:start w:val="1"/>
        <w:numFmt w:val="decimal"/>
        <w:lvlText w:val="%7."/>
        <w:lvlJc w:val="left"/>
        <w:pPr>
          <w:ind w:left="5750" w:hanging="360"/>
        </w:pPr>
        <w:rPr>
          <w:rFonts w:hint="default"/>
        </w:rPr>
      </w:lvl>
    </w:lvlOverride>
    <w:lvlOverride w:ilvl="7">
      <w:startOverride w:val="1"/>
      <w:lvl w:ilvl="7">
        <w:start w:val="1"/>
        <w:numFmt w:val="lowerLetter"/>
        <w:lvlText w:val="%8."/>
        <w:lvlJc w:val="left"/>
        <w:pPr>
          <w:ind w:left="6470" w:hanging="360"/>
        </w:pPr>
        <w:rPr>
          <w:rFonts w:hint="default"/>
        </w:rPr>
      </w:lvl>
    </w:lvlOverride>
    <w:lvlOverride w:ilvl="8">
      <w:startOverride w:val="1"/>
      <w:lvl w:ilvl="8">
        <w:start w:val="1"/>
        <w:numFmt w:val="lowerRoman"/>
        <w:lvlText w:val="%9."/>
        <w:lvlJc w:val="right"/>
        <w:pPr>
          <w:ind w:left="7190" w:hanging="180"/>
        </w:pPr>
        <w:rPr>
          <w:rFonts w:hint="default"/>
        </w:rPr>
      </w:lvl>
    </w:lvlOverride>
  </w:num>
  <w:num w:numId="11">
    <w:abstractNumId w:val="8"/>
    <w:lvlOverride w:ilvl="0">
      <w:startOverride w:val="1"/>
      <w:lvl w:ilvl="0">
        <w:start w:val="1"/>
        <w:numFmt w:val="decimal"/>
        <w:pStyle w:val="AnexoII"/>
        <w:lvlText w:val="A%1."/>
        <w:lvlJc w:val="left"/>
        <w:pPr>
          <w:ind w:left="927" w:hanging="360"/>
        </w:pPr>
        <w:rPr>
          <w:rFonts w:hint="default"/>
          <w:b/>
          <w:sz w:val="20"/>
        </w:rPr>
      </w:lvl>
    </w:lvlOverride>
    <w:lvlOverride w:ilvl="1">
      <w:startOverride w:val="1"/>
      <w:lvl w:ilvl="1">
        <w:start w:val="1"/>
        <w:numFmt w:val="decimal"/>
        <w:pStyle w:val="Ttulo7"/>
        <w:lvlText w:val="A%1.%2."/>
        <w:lvlJc w:val="left"/>
        <w:pPr>
          <w:ind w:left="2150" w:hanging="360"/>
        </w:pPr>
        <w:rPr>
          <w:rFonts w:hint="default"/>
          <w:b/>
          <w:sz w:val="20"/>
        </w:rPr>
      </w:lvl>
    </w:lvlOverride>
    <w:lvlOverride w:ilvl="2">
      <w:startOverride w:val="1"/>
      <w:lvl w:ilvl="2">
        <w:start w:val="1"/>
        <w:numFmt w:val="lowerRoman"/>
        <w:lvlText w:val="%3."/>
        <w:lvlJc w:val="right"/>
        <w:pPr>
          <w:ind w:left="2870" w:hanging="180"/>
        </w:pPr>
        <w:rPr>
          <w:rFonts w:hint="default"/>
        </w:rPr>
      </w:lvl>
    </w:lvlOverride>
    <w:lvlOverride w:ilvl="3">
      <w:startOverride w:val="1"/>
      <w:lvl w:ilvl="3">
        <w:start w:val="1"/>
        <w:numFmt w:val="decimal"/>
        <w:lvlText w:val="%4."/>
        <w:lvlJc w:val="left"/>
        <w:pPr>
          <w:ind w:left="3590" w:hanging="360"/>
        </w:pPr>
        <w:rPr>
          <w:rFonts w:hint="default"/>
        </w:rPr>
      </w:lvl>
    </w:lvlOverride>
    <w:lvlOverride w:ilvl="4">
      <w:startOverride w:val="1"/>
      <w:lvl w:ilvl="4">
        <w:start w:val="1"/>
        <w:numFmt w:val="lowerLetter"/>
        <w:lvlText w:val="%5."/>
        <w:lvlJc w:val="left"/>
        <w:pPr>
          <w:ind w:left="4310" w:hanging="360"/>
        </w:pPr>
        <w:rPr>
          <w:rFonts w:hint="default"/>
        </w:rPr>
      </w:lvl>
    </w:lvlOverride>
    <w:lvlOverride w:ilvl="5">
      <w:startOverride w:val="1"/>
      <w:lvl w:ilvl="5">
        <w:start w:val="1"/>
        <w:numFmt w:val="lowerRoman"/>
        <w:lvlText w:val="%6."/>
        <w:lvlJc w:val="right"/>
        <w:pPr>
          <w:ind w:left="5030" w:hanging="180"/>
        </w:pPr>
        <w:rPr>
          <w:rFonts w:hint="default"/>
        </w:rPr>
      </w:lvl>
    </w:lvlOverride>
    <w:lvlOverride w:ilvl="6">
      <w:startOverride w:val="1"/>
      <w:lvl w:ilvl="6">
        <w:start w:val="1"/>
        <w:numFmt w:val="decimal"/>
        <w:lvlText w:val="%7."/>
        <w:lvlJc w:val="left"/>
        <w:pPr>
          <w:ind w:left="5750" w:hanging="360"/>
        </w:pPr>
        <w:rPr>
          <w:rFonts w:hint="default"/>
        </w:rPr>
      </w:lvl>
    </w:lvlOverride>
    <w:lvlOverride w:ilvl="7">
      <w:startOverride w:val="1"/>
      <w:lvl w:ilvl="7">
        <w:start w:val="1"/>
        <w:numFmt w:val="lowerLetter"/>
        <w:lvlText w:val="%8."/>
        <w:lvlJc w:val="left"/>
        <w:pPr>
          <w:ind w:left="6470" w:hanging="360"/>
        </w:pPr>
        <w:rPr>
          <w:rFonts w:hint="default"/>
        </w:rPr>
      </w:lvl>
    </w:lvlOverride>
    <w:lvlOverride w:ilvl="8">
      <w:startOverride w:val="1"/>
      <w:lvl w:ilvl="8">
        <w:start w:val="1"/>
        <w:numFmt w:val="lowerRoman"/>
        <w:lvlText w:val="%9."/>
        <w:lvlJc w:val="right"/>
        <w:pPr>
          <w:ind w:left="7190" w:hanging="180"/>
        </w:pPr>
        <w:rPr>
          <w:rFonts w:hint="default"/>
        </w:rPr>
      </w:lvl>
    </w:lvlOverride>
  </w:num>
  <w:num w:numId="12">
    <w:abstractNumId w:val="8"/>
    <w:lvlOverride w:ilvl="0">
      <w:lvl w:ilvl="0">
        <w:start w:val="1"/>
        <w:numFmt w:val="decimal"/>
        <w:pStyle w:val="AnexoII"/>
        <w:lvlText w:val="A%1."/>
        <w:lvlJc w:val="left"/>
        <w:pPr>
          <w:ind w:left="927" w:hanging="360"/>
        </w:pPr>
        <w:rPr>
          <w:rFonts w:hint="default"/>
          <w:b/>
          <w:sz w:val="20"/>
        </w:rPr>
      </w:lvl>
    </w:lvlOverride>
    <w:lvlOverride w:ilvl="1">
      <w:lvl w:ilvl="1">
        <w:start w:val="1"/>
        <w:numFmt w:val="decimal"/>
        <w:pStyle w:val="Ttulo7"/>
        <w:lvlText w:val="A%1.%2."/>
        <w:lvlJc w:val="left"/>
        <w:pPr>
          <w:ind w:left="2150" w:hanging="360"/>
        </w:pPr>
        <w:rPr>
          <w:rFonts w:hint="default"/>
          <w:b/>
          <w:sz w:val="20"/>
        </w:rPr>
      </w:lvl>
    </w:lvlOverride>
    <w:lvlOverride w:ilvl="2">
      <w:lvl w:ilvl="2">
        <w:start w:val="1"/>
        <w:numFmt w:val="lowerRoman"/>
        <w:lvlText w:val="%3."/>
        <w:lvlJc w:val="right"/>
        <w:pPr>
          <w:ind w:left="2870" w:hanging="180"/>
        </w:pPr>
        <w:rPr>
          <w:rFonts w:hint="default"/>
        </w:rPr>
      </w:lvl>
    </w:lvlOverride>
    <w:lvlOverride w:ilvl="3">
      <w:lvl w:ilvl="3">
        <w:start w:val="1"/>
        <w:numFmt w:val="decimal"/>
        <w:lvlText w:val="%4."/>
        <w:lvlJc w:val="left"/>
        <w:pPr>
          <w:ind w:left="3590" w:hanging="360"/>
        </w:pPr>
        <w:rPr>
          <w:rFonts w:hint="default"/>
        </w:rPr>
      </w:lvl>
    </w:lvlOverride>
    <w:lvlOverride w:ilvl="4">
      <w:lvl w:ilvl="4">
        <w:start w:val="1"/>
        <w:numFmt w:val="lowerLetter"/>
        <w:lvlText w:val="%5."/>
        <w:lvlJc w:val="left"/>
        <w:pPr>
          <w:ind w:left="4310" w:hanging="360"/>
        </w:pPr>
        <w:rPr>
          <w:rFonts w:hint="default"/>
        </w:rPr>
      </w:lvl>
    </w:lvlOverride>
    <w:lvlOverride w:ilvl="5">
      <w:lvl w:ilvl="5">
        <w:start w:val="1"/>
        <w:numFmt w:val="lowerRoman"/>
        <w:lvlText w:val="%6."/>
        <w:lvlJc w:val="right"/>
        <w:pPr>
          <w:ind w:left="5030" w:hanging="180"/>
        </w:pPr>
        <w:rPr>
          <w:rFonts w:hint="default"/>
        </w:rPr>
      </w:lvl>
    </w:lvlOverride>
    <w:lvlOverride w:ilvl="6">
      <w:lvl w:ilvl="6">
        <w:start w:val="1"/>
        <w:numFmt w:val="decimal"/>
        <w:lvlText w:val="%7."/>
        <w:lvlJc w:val="left"/>
        <w:pPr>
          <w:ind w:left="5750" w:hanging="360"/>
        </w:pPr>
        <w:rPr>
          <w:rFonts w:hint="default"/>
        </w:rPr>
      </w:lvl>
    </w:lvlOverride>
    <w:lvlOverride w:ilvl="7">
      <w:lvl w:ilvl="7">
        <w:start w:val="1"/>
        <w:numFmt w:val="lowerLetter"/>
        <w:lvlText w:val="%8."/>
        <w:lvlJc w:val="left"/>
        <w:pPr>
          <w:ind w:left="6470" w:hanging="360"/>
        </w:pPr>
        <w:rPr>
          <w:rFonts w:hint="default"/>
        </w:rPr>
      </w:lvl>
    </w:lvlOverride>
    <w:lvlOverride w:ilvl="8">
      <w:lvl w:ilvl="8">
        <w:start w:val="1"/>
        <w:numFmt w:val="lowerRoman"/>
        <w:lvlText w:val="%9."/>
        <w:lvlJc w:val="right"/>
        <w:pPr>
          <w:ind w:left="7190" w:hanging="180"/>
        </w:pPr>
        <w:rPr>
          <w:rFonts w:hint="default"/>
        </w:rPr>
      </w:lvl>
    </w:lvlOverride>
  </w:num>
  <w:num w:numId="13">
    <w:abstractNumId w:val="9"/>
  </w:num>
  <w:num w:numId="14">
    <w:abstractNumId w:val="9"/>
  </w:num>
  <w:num w:numId="15">
    <w:abstractNumId w:val="9"/>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8"/>
    <w:lvlOverride w:ilvl="0">
      <w:lvl w:ilvl="0">
        <w:start w:val="1"/>
        <w:numFmt w:val="decimal"/>
        <w:pStyle w:val="AnexoII"/>
        <w:lvlText w:val="A%1."/>
        <w:lvlJc w:val="left"/>
        <w:pPr>
          <w:ind w:left="927" w:hanging="360"/>
        </w:pPr>
        <w:rPr>
          <w:rFonts w:hint="default"/>
          <w:b/>
          <w:color w:val="auto"/>
          <w:sz w:val="20"/>
        </w:rPr>
      </w:lvl>
    </w:lvlOverride>
  </w:num>
  <w:num w:numId="20">
    <w:abstractNumId w:val="7"/>
  </w:num>
  <w:num w:numId="21">
    <w:abstractNumId w:val="4"/>
  </w:num>
  <w:num w:numId="22">
    <w:abstractNumId w:val="5"/>
  </w:num>
  <w:num w:numId="2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GrammaticalErrors/>
  <w:proofState w:spelling="clean" w:grammar="clean"/>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47F"/>
    <w:rsid w:val="000012A0"/>
    <w:rsid w:val="000038A9"/>
    <w:rsid w:val="00005471"/>
    <w:rsid w:val="000117F2"/>
    <w:rsid w:val="00015872"/>
    <w:rsid w:val="00022670"/>
    <w:rsid w:val="00022847"/>
    <w:rsid w:val="00031B82"/>
    <w:rsid w:val="00032106"/>
    <w:rsid w:val="0003324A"/>
    <w:rsid w:val="0004688C"/>
    <w:rsid w:val="00047E57"/>
    <w:rsid w:val="0005357A"/>
    <w:rsid w:val="00057CEB"/>
    <w:rsid w:val="00060689"/>
    <w:rsid w:val="00060F42"/>
    <w:rsid w:val="000656DE"/>
    <w:rsid w:val="00070042"/>
    <w:rsid w:val="000734FA"/>
    <w:rsid w:val="00075143"/>
    <w:rsid w:val="000813A7"/>
    <w:rsid w:val="00081504"/>
    <w:rsid w:val="00081A9A"/>
    <w:rsid w:val="00083643"/>
    <w:rsid w:val="00085A53"/>
    <w:rsid w:val="00097657"/>
    <w:rsid w:val="000A047C"/>
    <w:rsid w:val="000A2F25"/>
    <w:rsid w:val="000A3147"/>
    <w:rsid w:val="000A53DC"/>
    <w:rsid w:val="000B304B"/>
    <w:rsid w:val="000B381D"/>
    <w:rsid w:val="000B3880"/>
    <w:rsid w:val="000B657B"/>
    <w:rsid w:val="000C0ACC"/>
    <w:rsid w:val="000C4036"/>
    <w:rsid w:val="000C44F9"/>
    <w:rsid w:val="000C6530"/>
    <w:rsid w:val="000C7B42"/>
    <w:rsid w:val="000D0AEE"/>
    <w:rsid w:val="000D35D2"/>
    <w:rsid w:val="000D45FA"/>
    <w:rsid w:val="000D5288"/>
    <w:rsid w:val="000D574E"/>
    <w:rsid w:val="000E1A16"/>
    <w:rsid w:val="000E287C"/>
    <w:rsid w:val="000E2A05"/>
    <w:rsid w:val="000E4CBB"/>
    <w:rsid w:val="000E5024"/>
    <w:rsid w:val="000E5251"/>
    <w:rsid w:val="000E5454"/>
    <w:rsid w:val="000E709E"/>
    <w:rsid w:val="000F6A2F"/>
    <w:rsid w:val="000F6DD3"/>
    <w:rsid w:val="000F793E"/>
    <w:rsid w:val="000F7BD8"/>
    <w:rsid w:val="00105DD2"/>
    <w:rsid w:val="00110236"/>
    <w:rsid w:val="001134BE"/>
    <w:rsid w:val="00114DB6"/>
    <w:rsid w:val="00116B30"/>
    <w:rsid w:val="001227D9"/>
    <w:rsid w:val="00125175"/>
    <w:rsid w:val="001308C5"/>
    <w:rsid w:val="00131B95"/>
    <w:rsid w:val="00147C62"/>
    <w:rsid w:val="00160A37"/>
    <w:rsid w:val="001721B8"/>
    <w:rsid w:val="00173EBB"/>
    <w:rsid w:val="00175749"/>
    <w:rsid w:val="001774DC"/>
    <w:rsid w:val="001777E3"/>
    <w:rsid w:val="00180C0F"/>
    <w:rsid w:val="00181A82"/>
    <w:rsid w:val="00183149"/>
    <w:rsid w:val="001838A9"/>
    <w:rsid w:val="00184B53"/>
    <w:rsid w:val="0018539D"/>
    <w:rsid w:val="001854E2"/>
    <w:rsid w:val="00190E22"/>
    <w:rsid w:val="00191D3B"/>
    <w:rsid w:val="00191EAE"/>
    <w:rsid w:val="00194734"/>
    <w:rsid w:val="001A04F0"/>
    <w:rsid w:val="001B12AA"/>
    <w:rsid w:val="001B6B51"/>
    <w:rsid w:val="001C14F0"/>
    <w:rsid w:val="001C28A5"/>
    <w:rsid w:val="001C460D"/>
    <w:rsid w:val="001C672E"/>
    <w:rsid w:val="001C7DD3"/>
    <w:rsid w:val="001E4F51"/>
    <w:rsid w:val="001F03C9"/>
    <w:rsid w:val="001F09F5"/>
    <w:rsid w:val="001F4119"/>
    <w:rsid w:val="0020214C"/>
    <w:rsid w:val="00202325"/>
    <w:rsid w:val="0020249E"/>
    <w:rsid w:val="002031A6"/>
    <w:rsid w:val="00210F6F"/>
    <w:rsid w:val="00217F49"/>
    <w:rsid w:val="00224486"/>
    <w:rsid w:val="0022491F"/>
    <w:rsid w:val="0022574D"/>
    <w:rsid w:val="002268C4"/>
    <w:rsid w:val="00241194"/>
    <w:rsid w:val="0024157B"/>
    <w:rsid w:val="0024411E"/>
    <w:rsid w:val="00251AAB"/>
    <w:rsid w:val="00255607"/>
    <w:rsid w:val="00256BEE"/>
    <w:rsid w:val="00256CFD"/>
    <w:rsid w:val="00263A4E"/>
    <w:rsid w:val="00270193"/>
    <w:rsid w:val="002703EF"/>
    <w:rsid w:val="002712E6"/>
    <w:rsid w:val="00282E02"/>
    <w:rsid w:val="00283CA5"/>
    <w:rsid w:val="002863CB"/>
    <w:rsid w:val="00286C65"/>
    <w:rsid w:val="002872AD"/>
    <w:rsid w:val="002905A2"/>
    <w:rsid w:val="0029573A"/>
    <w:rsid w:val="002A0CBB"/>
    <w:rsid w:val="002A2ADB"/>
    <w:rsid w:val="002A2E79"/>
    <w:rsid w:val="002A6D67"/>
    <w:rsid w:val="002B014F"/>
    <w:rsid w:val="002B6EB8"/>
    <w:rsid w:val="002D16C8"/>
    <w:rsid w:val="002D3129"/>
    <w:rsid w:val="002E7376"/>
    <w:rsid w:val="002F26AC"/>
    <w:rsid w:val="002F4C43"/>
    <w:rsid w:val="002F7829"/>
    <w:rsid w:val="002F7B0E"/>
    <w:rsid w:val="00304588"/>
    <w:rsid w:val="00315DE2"/>
    <w:rsid w:val="00321002"/>
    <w:rsid w:val="00321ED5"/>
    <w:rsid w:val="00322947"/>
    <w:rsid w:val="00323174"/>
    <w:rsid w:val="0032435E"/>
    <w:rsid w:val="00326502"/>
    <w:rsid w:val="00331EF7"/>
    <w:rsid w:val="00335CC8"/>
    <w:rsid w:val="0033698F"/>
    <w:rsid w:val="003378A6"/>
    <w:rsid w:val="00340511"/>
    <w:rsid w:val="0034230C"/>
    <w:rsid w:val="00354686"/>
    <w:rsid w:val="003547AB"/>
    <w:rsid w:val="003610D5"/>
    <w:rsid w:val="00366FC9"/>
    <w:rsid w:val="00371AFF"/>
    <w:rsid w:val="00372FF5"/>
    <w:rsid w:val="003778B7"/>
    <w:rsid w:val="00377AE5"/>
    <w:rsid w:val="00382CF8"/>
    <w:rsid w:val="00383E80"/>
    <w:rsid w:val="00385319"/>
    <w:rsid w:val="003906C7"/>
    <w:rsid w:val="003911AB"/>
    <w:rsid w:val="0039131D"/>
    <w:rsid w:val="00395B75"/>
    <w:rsid w:val="00397D6C"/>
    <w:rsid w:val="00397F38"/>
    <w:rsid w:val="003A2303"/>
    <w:rsid w:val="003A48AE"/>
    <w:rsid w:val="003B04BB"/>
    <w:rsid w:val="003B11ED"/>
    <w:rsid w:val="003B5B90"/>
    <w:rsid w:val="003C0671"/>
    <w:rsid w:val="003C1BD8"/>
    <w:rsid w:val="003C4245"/>
    <w:rsid w:val="003C4777"/>
    <w:rsid w:val="003C5294"/>
    <w:rsid w:val="003C53FB"/>
    <w:rsid w:val="003C64D5"/>
    <w:rsid w:val="003D0FCB"/>
    <w:rsid w:val="003D32F1"/>
    <w:rsid w:val="003D5802"/>
    <w:rsid w:val="003D6823"/>
    <w:rsid w:val="003E0620"/>
    <w:rsid w:val="004016C8"/>
    <w:rsid w:val="00403516"/>
    <w:rsid w:val="00403E00"/>
    <w:rsid w:val="004045F3"/>
    <w:rsid w:val="00404FDF"/>
    <w:rsid w:val="00410F5E"/>
    <w:rsid w:val="004114A3"/>
    <w:rsid w:val="00413FAF"/>
    <w:rsid w:val="00421575"/>
    <w:rsid w:val="00424E58"/>
    <w:rsid w:val="00425FC5"/>
    <w:rsid w:val="0042739C"/>
    <w:rsid w:val="00430E71"/>
    <w:rsid w:val="004319B9"/>
    <w:rsid w:val="00431D56"/>
    <w:rsid w:val="00434414"/>
    <w:rsid w:val="00435DA7"/>
    <w:rsid w:val="004431AE"/>
    <w:rsid w:val="00445843"/>
    <w:rsid w:val="004462C1"/>
    <w:rsid w:val="00450A13"/>
    <w:rsid w:val="00457A2B"/>
    <w:rsid w:val="0046015B"/>
    <w:rsid w:val="0046261F"/>
    <w:rsid w:val="00467794"/>
    <w:rsid w:val="00471E40"/>
    <w:rsid w:val="004737D6"/>
    <w:rsid w:val="00475588"/>
    <w:rsid w:val="00485B23"/>
    <w:rsid w:val="00486029"/>
    <w:rsid w:val="004910D1"/>
    <w:rsid w:val="00491ECE"/>
    <w:rsid w:val="00493AED"/>
    <w:rsid w:val="004A0AEE"/>
    <w:rsid w:val="004B220B"/>
    <w:rsid w:val="004B30F4"/>
    <w:rsid w:val="004B37B8"/>
    <w:rsid w:val="004B6FDA"/>
    <w:rsid w:val="004C08B5"/>
    <w:rsid w:val="004C4956"/>
    <w:rsid w:val="004C5C32"/>
    <w:rsid w:val="004D27DB"/>
    <w:rsid w:val="004D31A6"/>
    <w:rsid w:val="004D531E"/>
    <w:rsid w:val="004D6F57"/>
    <w:rsid w:val="004E01AD"/>
    <w:rsid w:val="004E3221"/>
    <w:rsid w:val="004E3ED0"/>
    <w:rsid w:val="004E68A5"/>
    <w:rsid w:val="004F455E"/>
    <w:rsid w:val="004F64C1"/>
    <w:rsid w:val="00500E0B"/>
    <w:rsid w:val="00500EA9"/>
    <w:rsid w:val="00503C6A"/>
    <w:rsid w:val="00507CBA"/>
    <w:rsid w:val="00513F59"/>
    <w:rsid w:val="005256D5"/>
    <w:rsid w:val="00532791"/>
    <w:rsid w:val="00533B00"/>
    <w:rsid w:val="00534B4A"/>
    <w:rsid w:val="005366B9"/>
    <w:rsid w:val="00545440"/>
    <w:rsid w:val="00547AEC"/>
    <w:rsid w:val="00552E6D"/>
    <w:rsid w:val="00553718"/>
    <w:rsid w:val="005549FD"/>
    <w:rsid w:val="00557440"/>
    <w:rsid w:val="0056130F"/>
    <w:rsid w:val="005673AE"/>
    <w:rsid w:val="00573E2F"/>
    <w:rsid w:val="00574511"/>
    <w:rsid w:val="00574F5B"/>
    <w:rsid w:val="00580593"/>
    <w:rsid w:val="00581425"/>
    <w:rsid w:val="005867C3"/>
    <w:rsid w:val="00586F1B"/>
    <w:rsid w:val="005966B4"/>
    <w:rsid w:val="005A3B65"/>
    <w:rsid w:val="005A4F46"/>
    <w:rsid w:val="005B3F78"/>
    <w:rsid w:val="005B5E0E"/>
    <w:rsid w:val="005C4692"/>
    <w:rsid w:val="005C49E6"/>
    <w:rsid w:val="005C4C70"/>
    <w:rsid w:val="005C7F55"/>
    <w:rsid w:val="005D69FC"/>
    <w:rsid w:val="0060050E"/>
    <w:rsid w:val="00600D6B"/>
    <w:rsid w:val="0060132C"/>
    <w:rsid w:val="006043AB"/>
    <w:rsid w:val="00605572"/>
    <w:rsid w:val="00605E80"/>
    <w:rsid w:val="00613D89"/>
    <w:rsid w:val="006367AA"/>
    <w:rsid w:val="00637C71"/>
    <w:rsid w:val="00640373"/>
    <w:rsid w:val="00651E21"/>
    <w:rsid w:val="00651E94"/>
    <w:rsid w:val="006538B2"/>
    <w:rsid w:val="006549C8"/>
    <w:rsid w:val="00654A7B"/>
    <w:rsid w:val="00661021"/>
    <w:rsid w:val="00665976"/>
    <w:rsid w:val="00667343"/>
    <w:rsid w:val="00674442"/>
    <w:rsid w:val="00675EAC"/>
    <w:rsid w:val="006765F3"/>
    <w:rsid w:val="006776EA"/>
    <w:rsid w:val="006817B7"/>
    <w:rsid w:val="00684997"/>
    <w:rsid w:val="00687693"/>
    <w:rsid w:val="00691F4A"/>
    <w:rsid w:val="0069399E"/>
    <w:rsid w:val="006947E9"/>
    <w:rsid w:val="006A1945"/>
    <w:rsid w:val="006A436D"/>
    <w:rsid w:val="006B689F"/>
    <w:rsid w:val="006C41D5"/>
    <w:rsid w:val="006C594A"/>
    <w:rsid w:val="006D1278"/>
    <w:rsid w:val="006D481D"/>
    <w:rsid w:val="006D6090"/>
    <w:rsid w:val="006E5884"/>
    <w:rsid w:val="006E7AE0"/>
    <w:rsid w:val="006F0E3A"/>
    <w:rsid w:val="006F1D17"/>
    <w:rsid w:val="006F286A"/>
    <w:rsid w:val="00701FBC"/>
    <w:rsid w:val="007029A8"/>
    <w:rsid w:val="00702A2F"/>
    <w:rsid w:val="00703649"/>
    <w:rsid w:val="0071081E"/>
    <w:rsid w:val="00713D75"/>
    <w:rsid w:val="0071401E"/>
    <w:rsid w:val="00714F78"/>
    <w:rsid w:val="00723C10"/>
    <w:rsid w:val="00724D99"/>
    <w:rsid w:val="0072570B"/>
    <w:rsid w:val="007277A6"/>
    <w:rsid w:val="007308E4"/>
    <w:rsid w:val="00736DA2"/>
    <w:rsid w:val="00737372"/>
    <w:rsid w:val="00737FE9"/>
    <w:rsid w:val="00741010"/>
    <w:rsid w:val="00741B35"/>
    <w:rsid w:val="0074444D"/>
    <w:rsid w:val="00746B30"/>
    <w:rsid w:val="00746CCE"/>
    <w:rsid w:val="0074749B"/>
    <w:rsid w:val="007502AB"/>
    <w:rsid w:val="00756859"/>
    <w:rsid w:val="00757DA3"/>
    <w:rsid w:val="00760729"/>
    <w:rsid w:val="007609F1"/>
    <w:rsid w:val="00766457"/>
    <w:rsid w:val="00767DB5"/>
    <w:rsid w:val="00771584"/>
    <w:rsid w:val="007748ED"/>
    <w:rsid w:val="0077545D"/>
    <w:rsid w:val="00777269"/>
    <w:rsid w:val="00777E8E"/>
    <w:rsid w:val="0078037B"/>
    <w:rsid w:val="00781001"/>
    <w:rsid w:val="00787549"/>
    <w:rsid w:val="00787897"/>
    <w:rsid w:val="00792941"/>
    <w:rsid w:val="0079510B"/>
    <w:rsid w:val="00795245"/>
    <w:rsid w:val="00796492"/>
    <w:rsid w:val="007A0DC2"/>
    <w:rsid w:val="007A5E55"/>
    <w:rsid w:val="007B092C"/>
    <w:rsid w:val="007B56BC"/>
    <w:rsid w:val="007B5895"/>
    <w:rsid w:val="007C2B5D"/>
    <w:rsid w:val="007C5AAD"/>
    <w:rsid w:val="007C61FE"/>
    <w:rsid w:val="007C6E3D"/>
    <w:rsid w:val="007D0780"/>
    <w:rsid w:val="007D1D25"/>
    <w:rsid w:val="007D71F9"/>
    <w:rsid w:val="007E17B9"/>
    <w:rsid w:val="007F06F6"/>
    <w:rsid w:val="007F3B24"/>
    <w:rsid w:val="008019C8"/>
    <w:rsid w:val="00802544"/>
    <w:rsid w:val="00802F2F"/>
    <w:rsid w:val="00803BF1"/>
    <w:rsid w:val="00803C0B"/>
    <w:rsid w:val="008043BA"/>
    <w:rsid w:val="00804406"/>
    <w:rsid w:val="00805EC2"/>
    <w:rsid w:val="00815519"/>
    <w:rsid w:val="0081690F"/>
    <w:rsid w:val="00816B70"/>
    <w:rsid w:val="008179EE"/>
    <w:rsid w:val="00824954"/>
    <w:rsid w:val="00826436"/>
    <w:rsid w:val="00834EC9"/>
    <w:rsid w:val="008428C3"/>
    <w:rsid w:val="008445C0"/>
    <w:rsid w:val="008469A4"/>
    <w:rsid w:val="00851FDC"/>
    <w:rsid w:val="00865665"/>
    <w:rsid w:val="00866F21"/>
    <w:rsid w:val="008745FB"/>
    <w:rsid w:val="008767D2"/>
    <w:rsid w:val="00885510"/>
    <w:rsid w:val="00890330"/>
    <w:rsid w:val="00892A30"/>
    <w:rsid w:val="008A2CAD"/>
    <w:rsid w:val="008A441E"/>
    <w:rsid w:val="008A5B1A"/>
    <w:rsid w:val="008A729D"/>
    <w:rsid w:val="008B2C54"/>
    <w:rsid w:val="008B4EAA"/>
    <w:rsid w:val="008B73DF"/>
    <w:rsid w:val="008C167F"/>
    <w:rsid w:val="008C21DB"/>
    <w:rsid w:val="008C418C"/>
    <w:rsid w:val="008C5EEE"/>
    <w:rsid w:val="008D31BA"/>
    <w:rsid w:val="008E470A"/>
    <w:rsid w:val="008E7F35"/>
    <w:rsid w:val="008F0120"/>
    <w:rsid w:val="008F0F6F"/>
    <w:rsid w:val="00900F55"/>
    <w:rsid w:val="009071F9"/>
    <w:rsid w:val="00910452"/>
    <w:rsid w:val="009110A6"/>
    <w:rsid w:val="00916CB8"/>
    <w:rsid w:val="00916EB9"/>
    <w:rsid w:val="009218DE"/>
    <w:rsid w:val="0092461C"/>
    <w:rsid w:val="00925D7B"/>
    <w:rsid w:val="00931B8B"/>
    <w:rsid w:val="00936DF6"/>
    <w:rsid w:val="0094033B"/>
    <w:rsid w:val="0094103B"/>
    <w:rsid w:val="0094461C"/>
    <w:rsid w:val="009447E8"/>
    <w:rsid w:val="0094691D"/>
    <w:rsid w:val="00951440"/>
    <w:rsid w:val="00951F15"/>
    <w:rsid w:val="0095231D"/>
    <w:rsid w:val="009567F3"/>
    <w:rsid w:val="00972FBB"/>
    <w:rsid w:val="009741FC"/>
    <w:rsid w:val="009815E3"/>
    <w:rsid w:val="009837F5"/>
    <w:rsid w:val="00983D12"/>
    <w:rsid w:val="00985781"/>
    <w:rsid w:val="0098647F"/>
    <w:rsid w:val="00991D04"/>
    <w:rsid w:val="00991F4F"/>
    <w:rsid w:val="009A158D"/>
    <w:rsid w:val="009A1742"/>
    <w:rsid w:val="009A262E"/>
    <w:rsid w:val="009C1154"/>
    <w:rsid w:val="009C1CEC"/>
    <w:rsid w:val="009C2982"/>
    <w:rsid w:val="009C5227"/>
    <w:rsid w:val="009D4042"/>
    <w:rsid w:val="009D4596"/>
    <w:rsid w:val="009D5B4E"/>
    <w:rsid w:val="009D6DE1"/>
    <w:rsid w:val="009F59FA"/>
    <w:rsid w:val="009F75AC"/>
    <w:rsid w:val="009F786B"/>
    <w:rsid w:val="009F7DD4"/>
    <w:rsid w:val="00A05246"/>
    <w:rsid w:val="00A05A54"/>
    <w:rsid w:val="00A12507"/>
    <w:rsid w:val="00A1293A"/>
    <w:rsid w:val="00A173B3"/>
    <w:rsid w:val="00A225BD"/>
    <w:rsid w:val="00A2693D"/>
    <w:rsid w:val="00A26BD1"/>
    <w:rsid w:val="00A3151E"/>
    <w:rsid w:val="00A32457"/>
    <w:rsid w:val="00A32C18"/>
    <w:rsid w:val="00A34B36"/>
    <w:rsid w:val="00A3753C"/>
    <w:rsid w:val="00A4275C"/>
    <w:rsid w:val="00A65BB9"/>
    <w:rsid w:val="00A67885"/>
    <w:rsid w:val="00A700DE"/>
    <w:rsid w:val="00A70724"/>
    <w:rsid w:val="00A72368"/>
    <w:rsid w:val="00A8315A"/>
    <w:rsid w:val="00A87247"/>
    <w:rsid w:val="00A90ECF"/>
    <w:rsid w:val="00AA234C"/>
    <w:rsid w:val="00AA56EC"/>
    <w:rsid w:val="00AA5EBB"/>
    <w:rsid w:val="00AA6959"/>
    <w:rsid w:val="00AB4559"/>
    <w:rsid w:val="00AC1351"/>
    <w:rsid w:val="00AC2087"/>
    <w:rsid w:val="00AC2520"/>
    <w:rsid w:val="00AC64DC"/>
    <w:rsid w:val="00AC794B"/>
    <w:rsid w:val="00AD4D21"/>
    <w:rsid w:val="00AD695F"/>
    <w:rsid w:val="00AE03A2"/>
    <w:rsid w:val="00AE54AD"/>
    <w:rsid w:val="00AE733F"/>
    <w:rsid w:val="00AF0EB6"/>
    <w:rsid w:val="00AF121A"/>
    <w:rsid w:val="00AF3EF8"/>
    <w:rsid w:val="00B006F8"/>
    <w:rsid w:val="00B015D6"/>
    <w:rsid w:val="00B039BE"/>
    <w:rsid w:val="00B03E77"/>
    <w:rsid w:val="00B05A98"/>
    <w:rsid w:val="00B05AB4"/>
    <w:rsid w:val="00B07901"/>
    <w:rsid w:val="00B11CBD"/>
    <w:rsid w:val="00B22EC6"/>
    <w:rsid w:val="00B247DB"/>
    <w:rsid w:val="00B267D4"/>
    <w:rsid w:val="00B30A5B"/>
    <w:rsid w:val="00B410FD"/>
    <w:rsid w:val="00B43C74"/>
    <w:rsid w:val="00B450BE"/>
    <w:rsid w:val="00B52789"/>
    <w:rsid w:val="00B551E7"/>
    <w:rsid w:val="00B65407"/>
    <w:rsid w:val="00B72B25"/>
    <w:rsid w:val="00B72B73"/>
    <w:rsid w:val="00B74D4B"/>
    <w:rsid w:val="00B80068"/>
    <w:rsid w:val="00B85A3E"/>
    <w:rsid w:val="00B93BAA"/>
    <w:rsid w:val="00BA67AA"/>
    <w:rsid w:val="00BA7646"/>
    <w:rsid w:val="00BA7CEA"/>
    <w:rsid w:val="00BB179B"/>
    <w:rsid w:val="00BB28BA"/>
    <w:rsid w:val="00BB6A78"/>
    <w:rsid w:val="00BB79DC"/>
    <w:rsid w:val="00BC0558"/>
    <w:rsid w:val="00BC0B32"/>
    <w:rsid w:val="00BC10F9"/>
    <w:rsid w:val="00BC30E5"/>
    <w:rsid w:val="00BC472F"/>
    <w:rsid w:val="00BD2AA0"/>
    <w:rsid w:val="00BD36F3"/>
    <w:rsid w:val="00BE2942"/>
    <w:rsid w:val="00BE2E8F"/>
    <w:rsid w:val="00BF1CC8"/>
    <w:rsid w:val="00BF5396"/>
    <w:rsid w:val="00BF567E"/>
    <w:rsid w:val="00C00610"/>
    <w:rsid w:val="00C03ADF"/>
    <w:rsid w:val="00C051B1"/>
    <w:rsid w:val="00C07F3B"/>
    <w:rsid w:val="00C110A9"/>
    <w:rsid w:val="00C13463"/>
    <w:rsid w:val="00C2025A"/>
    <w:rsid w:val="00C247CE"/>
    <w:rsid w:val="00C31ACE"/>
    <w:rsid w:val="00C326B0"/>
    <w:rsid w:val="00C32DB3"/>
    <w:rsid w:val="00C34CB8"/>
    <w:rsid w:val="00C371F9"/>
    <w:rsid w:val="00C3767C"/>
    <w:rsid w:val="00C41B6A"/>
    <w:rsid w:val="00C44A0B"/>
    <w:rsid w:val="00C47C1C"/>
    <w:rsid w:val="00C5199B"/>
    <w:rsid w:val="00C574E2"/>
    <w:rsid w:val="00C62A10"/>
    <w:rsid w:val="00C63C55"/>
    <w:rsid w:val="00C646D8"/>
    <w:rsid w:val="00C70BBA"/>
    <w:rsid w:val="00C74E24"/>
    <w:rsid w:val="00C76B26"/>
    <w:rsid w:val="00C80857"/>
    <w:rsid w:val="00C84980"/>
    <w:rsid w:val="00C85118"/>
    <w:rsid w:val="00C858AC"/>
    <w:rsid w:val="00C87382"/>
    <w:rsid w:val="00C911B3"/>
    <w:rsid w:val="00C92192"/>
    <w:rsid w:val="00C9638B"/>
    <w:rsid w:val="00C96BD5"/>
    <w:rsid w:val="00C978A1"/>
    <w:rsid w:val="00CA08A0"/>
    <w:rsid w:val="00CA2EDD"/>
    <w:rsid w:val="00CA3B86"/>
    <w:rsid w:val="00CA63AC"/>
    <w:rsid w:val="00CB07CA"/>
    <w:rsid w:val="00CB10F3"/>
    <w:rsid w:val="00CB6C03"/>
    <w:rsid w:val="00CC2281"/>
    <w:rsid w:val="00CC2EBF"/>
    <w:rsid w:val="00CC62CC"/>
    <w:rsid w:val="00CC6F92"/>
    <w:rsid w:val="00CD02D6"/>
    <w:rsid w:val="00CD484A"/>
    <w:rsid w:val="00CE1D0D"/>
    <w:rsid w:val="00CE33D8"/>
    <w:rsid w:val="00CF2F6B"/>
    <w:rsid w:val="00CF35CE"/>
    <w:rsid w:val="00CF468B"/>
    <w:rsid w:val="00CF54AD"/>
    <w:rsid w:val="00D03596"/>
    <w:rsid w:val="00D05248"/>
    <w:rsid w:val="00D072E1"/>
    <w:rsid w:val="00D0775E"/>
    <w:rsid w:val="00D07FF2"/>
    <w:rsid w:val="00D166F3"/>
    <w:rsid w:val="00D2066F"/>
    <w:rsid w:val="00D21D28"/>
    <w:rsid w:val="00D24146"/>
    <w:rsid w:val="00D2502A"/>
    <w:rsid w:val="00D25B58"/>
    <w:rsid w:val="00D30A25"/>
    <w:rsid w:val="00D360AD"/>
    <w:rsid w:val="00D423DE"/>
    <w:rsid w:val="00D45385"/>
    <w:rsid w:val="00D45FB1"/>
    <w:rsid w:val="00D4688C"/>
    <w:rsid w:val="00D51217"/>
    <w:rsid w:val="00D515EA"/>
    <w:rsid w:val="00D51B64"/>
    <w:rsid w:val="00D52355"/>
    <w:rsid w:val="00D53263"/>
    <w:rsid w:val="00D57161"/>
    <w:rsid w:val="00D75462"/>
    <w:rsid w:val="00D761E7"/>
    <w:rsid w:val="00D76648"/>
    <w:rsid w:val="00D83591"/>
    <w:rsid w:val="00D90D0C"/>
    <w:rsid w:val="00D9277C"/>
    <w:rsid w:val="00D965BC"/>
    <w:rsid w:val="00D96A78"/>
    <w:rsid w:val="00D96B4D"/>
    <w:rsid w:val="00DA4A59"/>
    <w:rsid w:val="00DA7AFE"/>
    <w:rsid w:val="00DB06D4"/>
    <w:rsid w:val="00DB6F76"/>
    <w:rsid w:val="00DB7058"/>
    <w:rsid w:val="00DC06CF"/>
    <w:rsid w:val="00DC32CD"/>
    <w:rsid w:val="00DC4346"/>
    <w:rsid w:val="00DC569F"/>
    <w:rsid w:val="00DD24AC"/>
    <w:rsid w:val="00DE0C8A"/>
    <w:rsid w:val="00DE1085"/>
    <w:rsid w:val="00DE13B7"/>
    <w:rsid w:val="00DE3724"/>
    <w:rsid w:val="00DE49A4"/>
    <w:rsid w:val="00DE5D29"/>
    <w:rsid w:val="00DF18E8"/>
    <w:rsid w:val="00DF78A8"/>
    <w:rsid w:val="00E00FBF"/>
    <w:rsid w:val="00E0103A"/>
    <w:rsid w:val="00E01588"/>
    <w:rsid w:val="00E13DD3"/>
    <w:rsid w:val="00E1562E"/>
    <w:rsid w:val="00E15FD1"/>
    <w:rsid w:val="00E17510"/>
    <w:rsid w:val="00E20073"/>
    <w:rsid w:val="00E20CC8"/>
    <w:rsid w:val="00E31AD8"/>
    <w:rsid w:val="00E31FB6"/>
    <w:rsid w:val="00E34B7F"/>
    <w:rsid w:val="00E36A23"/>
    <w:rsid w:val="00E43374"/>
    <w:rsid w:val="00E436F9"/>
    <w:rsid w:val="00E440E6"/>
    <w:rsid w:val="00E44A96"/>
    <w:rsid w:val="00E4560E"/>
    <w:rsid w:val="00E45EE9"/>
    <w:rsid w:val="00E55D67"/>
    <w:rsid w:val="00E56ADC"/>
    <w:rsid w:val="00E600B6"/>
    <w:rsid w:val="00E62571"/>
    <w:rsid w:val="00E62DAA"/>
    <w:rsid w:val="00E63A95"/>
    <w:rsid w:val="00E6446F"/>
    <w:rsid w:val="00E6447A"/>
    <w:rsid w:val="00E66616"/>
    <w:rsid w:val="00E70469"/>
    <w:rsid w:val="00E761B8"/>
    <w:rsid w:val="00E8161C"/>
    <w:rsid w:val="00E81751"/>
    <w:rsid w:val="00E826B9"/>
    <w:rsid w:val="00E84F99"/>
    <w:rsid w:val="00E867E0"/>
    <w:rsid w:val="00E93A2F"/>
    <w:rsid w:val="00EA7AF9"/>
    <w:rsid w:val="00EB18A7"/>
    <w:rsid w:val="00EB1D3B"/>
    <w:rsid w:val="00EB3CD6"/>
    <w:rsid w:val="00EC2498"/>
    <w:rsid w:val="00EC7812"/>
    <w:rsid w:val="00ED4028"/>
    <w:rsid w:val="00EE1BE4"/>
    <w:rsid w:val="00EE574B"/>
    <w:rsid w:val="00EE6047"/>
    <w:rsid w:val="00EF21DF"/>
    <w:rsid w:val="00EF2F3F"/>
    <w:rsid w:val="00EF5A78"/>
    <w:rsid w:val="00EF685C"/>
    <w:rsid w:val="00F026D8"/>
    <w:rsid w:val="00F044D2"/>
    <w:rsid w:val="00F05AD7"/>
    <w:rsid w:val="00F073CD"/>
    <w:rsid w:val="00F078FA"/>
    <w:rsid w:val="00F16B16"/>
    <w:rsid w:val="00F27290"/>
    <w:rsid w:val="00F34E95"/>
    <w:rsid w:val="00F4005F"/>
    <w:rsid w:val="00F42087"/>
    <w:rsid w:val="00F424BB"/>
    <w:rsid w:val="00F46623"/>
    <w:rsid w:val="00F470F0"/>
    <w:rsid w:val="00F50084"/>
    <w:rsid w:val="00F501B4"/>
    <w:rsid w:val="00F509CF"/>
    <w:rsid w:val="00F53E53"/>
    <w:rsid w:val="00F64615"/>
    <w:rsid w:val="00F7031E"/>
    <w:rsid w:val="00F70456"/>
    <w:rsid w:val="00F71214"/>
    <w:rsid w:val="00F726AF"/>
    <w:rsid w:val="00F72A3C"/>
    <w:rsid w:val="00F74750"/>
    <w:rsid w:val="00F800EE"/>
    <w:rsid w:val="00F85A1E"/>
    <w:rsid w:val="00F92726"/>
    <w:rsid w:val="00FA0B3B"/>
    <w:rsid w:val="00FA6EB3"/>
    <w:rsid w:val="00FA7A63"/>
    <w:rsid w:val="00FB3919"/>
    <w:rsid w:val="00FB4532"/>
    <w:rsid w:val="00FB6F2C"/>
    <w:rsid w:val="00FC0714"/>
    <w:rsid w:val="00FC6FB1"/>
    <w:rsid w:val="00FC755D"/>
    <w:rsid w:val="00FD5FC3"/>
    <w:rsid w:val="00FE1A77"/>
    <w:rsid w:val="00FE2F65"/>
    <w:rsid w:val="00FE6CB2"/>
    <w:rsid w:val="00FE7654"/>
    <w:rsid w:val="00FF34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78DE6E74"/>
  <w15:docId w15:val="{8162958D-ED26-4FC7-BCD1-BEF3EE37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
    <w:link w:val="Ttulo1Char"/>
    <w:uiPriority w:val="9"/>
    <w:qFormat/>
    <w:rsid w:val="003D0FCB"/>
    <w:pPr>
      <w:numPr>
        <w:numId w:val="1"/>
      </w:numPr>
      <w:tabs>
        <w:tab w:val="left" w:pos="426"/>
      </w:tabs>
      <w:spacing w:before="360" w:after="240"/>
      <w:jc w:val="both"/>
      <w:outlineLvl w:val="0"/>
    </w:pPr>
    <w:rPr>
      <w:b/>
      <w:bCs/>
      <w:caps/>
      <w:color w:val="auto"/>
      <w:sz w:val="22"/>
      <w:szCs w:val="22"/>
    </w:rPr>
  </w:style>
  <w:style w:type="paragraph" w:styleId="Ttulo2">
    <w:name w:val="heading 2"/>
    <w:basedOn w:val="Ttulo1"/>
    <w:next w:val="Normal"/>
    <w:link w:val="Ttulo2Char"/>
    <w:qFormat/>
    <w:rsid w:val="004C5C32"/>
    <w:pPr>
      <w:numPr>
        <w:ilvl w:val="1"/>
      </w:numPr>
      <w:tabs>
        <w:tab w:val="left" w:pos="993"/>
      </w:tabs>
      <w:spacing w:before="240" w:after="120" w:line="360" w:lineRule="auto"/>
      <w:outlineLvl w:val="1"/>
    </w:pPr>
    <w:rPr>
      <w:b w:val="0"/>
      <w:caps w:val="0"/>
    </w:rPr>
  </w:style>
  <w:style w:type="paragraph" w:styleId="Ttulo3">
    <w:name w:val="heading 3"/>
    <w:basedOn w:val="Ttulo2"/>
    <w:next w:val="Normal"/>
    <w:link w:val="Ttulo3Char"/>
    <w:qFormat/>
    <w:rsid w:val="00DB6F76"/>
    <w:pPr>
      <w:numPr>
        <w:ilvl w:val="2"/>
      </w:numPr>
      <w:tabs>
        <w:tab w:val="left" w:pos="1134"/>
      </w:tabs>
      <w:spacing w:before="120"/>
      <w:outlineLvl w:val="2"/>
    </w:pPr>
  </w:style>
  <w:style w:type="paragraph" w:styleId="Ttulo4">
    <w:name w:val="heading 4"/>
    <w:basedOn w:val="Ttulo3"/>
    <w:next w:val="Normal"/>
    <w:link w:val="Ttulo4Char"/>
    <w:uiPriority w:val="9"/>
    <w:unhideWhenUsed/>
    <w:qFormat/>
    <w:rsid w:val="00C44A0B"/>
    <w:pPr>
      <w:numPr>
        <w:ilvl w:val="3"/>
      </w:numPr>
      <w:tabs>
        <w:tab w:val="clear" w:pos="426"/>
        <w:tab w:val="clear" w:pos="993"/>
        <w:tab w:val="clear" w:pos="1134"/>
      </w:tabs>
      <w:ind w:left="2127" w:hanging="1047"/>
      <w:outlineLvl w:val="3"/>
    </w:pPr>
  </w:style>
  <w:style w:type="paragraph" w:styleId="Ttulo5">
    <w:name w:val="heading 5"/>
    <w:basedOn w:val="Ttulo4"/>
    <w:next w:val="Normal"/>
    <w:link w:val="Ttulo5Char"/>
    <w:uiPriority w:val="9"/>
    <w:unhideWhenUsed/>
    <w:qFormat/>
    <w:rsid w:val="00425FC5"/>
    <w:pPr>
      <w:numPr>
        <w:ilvl w:val="4"/>
      </w:numPr>
      <w:ind w:left="3544" w:hanging="992"/>
      <w:outlineLvl w:val="4"/>
    </w:pPr>
  </w:style>
  <w:style w:type="paragraph" w:styleId="Ttulo7">
    <w:name w:val="heading 7"/>
    <w:aliases w:val="AnexoII.3"/>
    <w:basedOn w:val="AnexoII"/>
    <w:next w:val="Normal"/>
    <w:link w:val="Ttulo7Char"/>
    <w:qFormat/>
    <w:rsid w:val="00CF468B"/>
    <w:pPr>
      <w:numPr>
        <w:ilvl w:val="1"/>
      </w:numPr>
      <w:ind w:left="1701" w:hanging="850"/>
      <w:outlineLvl w:val="6"/>
    </w:pPr>
  </w:style>
  <w:style w:type="paragraph" w:styleId="Ttulo9">
    <w:name w:val="heading 9"/>
    <w:basedOn w:val="Normal"/>
    <w:next w:val="Normal"/>
    <w:link w:val="Ttulo9Char"/>
    <w:qFormat/>
    <w:rsid w:val="007C6E3D"/>
    <w:pPr>
      <w:tabs>
        <w:tab w:val="num" w:pos="0"/>
      </w:tab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647F"/>
    <w:pPr>
      <w:ind w:left="720"/>
      <w:contextualSpacing/>
    </w:pPr>
  </w:style>
  <w:style w:type="paragraph" w:customStyle="1" w:styleId="Normal1">
    <w:name w:val="Normal1"/>
    <w:rsid w:val="004B30F4"/>
    <w:pPr>
      <w:suppressAutoHyphens/>
      <w:autoSpaceDE w:val="0"/>
      <w:spacing w:after="0" w:line="240" w:lineRule="auto"/>
    </w:pPr>
    <w:rPr>
      <w:rFonts w:ascii="Arial" w:eastAsia="Arial" w:hAnsi="Arial" w:cs="Arial"/>
      <w:color w:val="000000"/>
      <w:sz w:val="24"/>
      <w:szCs w:val="24"/>
      <w:lang w:eastAsia="ar-SA"/>
    </w:rPr>
  </w:style>
  <w:style w:type="table" w:styleId="Tabelacomgrade">
    <w:name w:val="Table Grid"/>
    <w:basedOn w:val="Tabelanormal"/>
    <w:uiPriority w:val="59"/>
    <w:rsid w:val="00651E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4E32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221"/>
  </w:style>
  <w:style w:type="paragraph" w:styleId="Rodap">
    <w:name w:val="footer"/>
    <w:basedOn w:val="Normal"/>
    <w:link w:val="RodapChar"/>
    <w:uiPriority w:val="99"/>
    <w:unhideWhenUsed/>
    <w:rsid w:val="004E3221"/>
    <w:pPr>
      <w:tabs>
        <w:tab w:val="center" w:pos="4252"/>
        <w:tab w:val="right" w:pos="8504"/>
      </w:tabs>
      <w:spacing w:after="0" w:line="240" w:lineRule="auto"/>
    </w:pPr>
  </w:style>
  <w:style w:type="character" w:customStyle="1" w:styleId="RodapChar">
    <w:name w:val="Rodapé Char"/>
    <w:basedOn w:val="Fontepargpadro"/>
    <w:link w:val="Rodap"/>
    <w:uiPriority w:val="99"/>
    <w:rsid w:val="004E3221"/>
  </w:style>
  <w:style w:type="paragraph" w:styleId="Textodebalo">
    <w:name w:val="Balloon Text"/>
    <w:basedOn w:val="Normal"/>
    <w:link w:val="TextodebaloChar"/>
    <w:uiPriority w:val="99"/>
    <w:semiHidden/>
    <w:unhideWhenUsed/>
    <w:rsid w:val="004E32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3221"/>
    <w:rPr>
      <w:rFonts w:ascii="Tahoma" w:hAnsi="Tahoma" w:cs="Tahoma"/>
      <w:sz w:val="16"/>
      <w:szCs w:val="16"/>
    </w:rPr>
  </w:style>
  <w:style w:type="paragraph" w:customStyle="1" w:styleId="Ttulo13">
    <w:name w:val="Título 13"/>
    <w:basedOn w:val="Normal"/>
    <w:next w:val="Corpodetexto"/>
    <w:rsid w:val="004E3221"/>
    <w:pPr>
      <w:keepNext/>
      <w:widowControl w:val="0"/>
      <w:tabs>
        <w:tab w:val="num" w:pos="0"/>
      </w:tabs>
      <w:suppressAutoHyphens/>
      <w:spacing w:before="240" w:after="120" w:line="240" w:lineRule="auto"/>
      <w:ind w:left="1440"/>
    </w:pPr>
    <w:rPr>
      <w:rFonts w:ascii="Arial" w:eastAsia="Times New Roman" w:hAnsi="Arial" w:cs="Arial"/>
      <w:sz w:val="28"/>
      <w:szCs w:val="28"/>
      <w:lang w:eastAsia="ar-SA"/>
    </w:rPr>
  </w:style>
  <w:style w:type="paragraph" w:styleId="Corpodetexto">
    <w:name w:val="Body Text"/>
    <w:basedOn w:val="Normal"/>
    <w:link w:val="CorpodetextoChar"/>
    <w:uiPriority w:val="99"/>
    <w:unhideWhenUsed/>
    <w:rsid w:val="004E3221"/>
    <w:pPr>
      <w:spacing w:after="120"/>
    </w:pPr>
  </w:style>
  <w:style w:type="character" w:customStyle="1" w:styleId="CorpodetextoChar">
    <w:name w:val="Corpo de texto Char"/>
    <w:basedOn w:val="Fontepargpadro"/>
    <w:link w:val="Corpodetexto"/>
    <w:uiPriority w:val="99"/>
    <w:rsid w:val="004E3221"/>
  </w:style>
  <w:style w:type="character" w:customStyle="1" w:styleId="Ttulo2Char">
    <w:name w:val="Título 2 Char"/>
    <w:basedOn w:val="Fontepargpadro"/>
    <w:link w:val="Ttulo2"/>
    <w:rsid w:val="004C5C32"/>
    <w:rPr>
      <w:rFonts w:ascii="Arial" w:eastAsia="Arial" w:hAnsi="Arial" w:cs="Arial"/>
      <w:bCs/>
      <w:lang w:eastAsia="ar-SA"/>
    </w:rPr>
  </w:style>
  <w:style w:type="character" w:customStyle="1" w:styleId="Ttulo3Char">
    <w:name w:val="Título 3 Char"/>
    <w:basedOn w:val="Fontepargpadro"/>
    <w:link w:val="Ttulo3"/>
    <w:rsid w:val="00DB6F76"/>
    <w:rPr>
      <w:rFonts w:ascii="Arial" w:eastAsia="Arial" w:hAnsi="Arial" w:cs="Arial"/>
      <w:bCs/>
      <w:lang w:eastAsia="ar-SA"/>
    </w:rPr>
  </w:style>
  <w:style w:type="paragraph" w:customStyle="1" w:styleId="Recuodecorpodetexto21">
    <w:name w:val="Recuo de corpo de texto 21"/>
    <w:basedOn w:val="Normal"/>
    <w:rsid w:val="00E6447A"/>
    <w:pPr>
      <w:suppressAutoHyphens/>
      <w:spacing w:after="0" w:line="240" w:lineRule="auto"/>
      <w:ind w:right="-795" w:firstLine="700"/>
      <w:jc w:val="both"/>
    </w:pPr>
    <w:rPr>
      <w:rFonts w:ascii="Arial" w:eastAsia="Times New Roman" w:hAnsi="Arial" w:cs="Arial"/>
      <w:sz w:val="24"/>
      <w:szCs w:val="20"/>
      <w:lang w:eastAsia="ar-SA"/>
    </w:rPr>
  </w:style>
  <w:style w:type="paragraph" w:customStyle="1" w:styleId="Estilo5">
    <w:name w:val="Estilo5"/>
    <w:basedOn w:val="Normal"/>
    <w:link w:val="Estilo5Char"/>
    <w:qFormat/>
    <w:rsid w:val="0042739C"/>
    <w:pPr>
      <w:widowControl w:val="0"/>
      <w:suppressAutoHyphens/>
      <w:spacing w:after="0" w:line="240" w:lineRule="auto"/>
      <w:ind w:left="1224" w:hanging="504"/>
      <w:jc w:val="both"/>
    </w:pPr>
    <w:rPr>
      <w:rFonts w:ascii="Calibri" w:eastAsia="Times New Roman" w:hAnsi="Calibri" w:cs="Calibri"/>
      <w:sz w:val="24"/>
      <w:szCs w:val="24"/>
      <w:lang w:eastAsia="ar-SA"/>
    </w:rPr>
  </w:style>
  <w:style w:type="character" w:customStyle="1" w:styleId="Estilo5Char">
    <w:name w:val="Estilo5 Char"/>
    <w:link w:val="Estilo5"/>
    <w:rsid w:val="0042739C"/>
    <w:rPr>
      <w:rFonts w:ascii="Calibri" w:eastAsia="Times New Roman" w:hAnsi="Calibri" w:cs="Calibri"/>
      <w:sz w:val="24"/>
      <w:szCs w:val="24"/>
      <w:lang w:eastAsia="ar-SA"/>
    </w:rPr>
  </w:style>
  <w:style w:type="paragraph" w:customStyle="1" w:styleId="SUB-ITEM">
    <w:name w:val="SUB-ITEM"/>
    <w:basedOn w:val="Normal"/>
    <w:semiHidden/>
    <w:rsid w:val="009D6DE1"/>
    <w:pPr>
      <w:spacing w:before="120" w:after="120" w:line="240" w:lineRule="auto"/>
      <w:jc w:val="both"/>
    </w:pPr>
    <w:rPr>
      <w:rFonts w:ascii="Arial" w:eastAsia="Times New Roman" w:hAnsi="Arial" w:cs="Arial"/>
      <w:b/>
      <w:bCs/>
      <w:sz w:val="28"/>
      <w:szCs w:val="28"/>
    </w:rPr>
  </w:style>
  <w:style w:type="character" w:customStyle="1" w:styleId="Ttulo1Char">
    <w:name w:val="Título 1 Char"/>
    <w:basedOn w:val="Fontepargpadro"/>
    <w:link w:val="Ttulo1"/>
    <w:uiPriority w:val="9"/>
    <w:rsid w:val="003D0FCB"/>
    <w:rPr>
      <w:rFonts w:ascii="Arial" w:eastAsia="Arial" w:hAnsi="Arial" w:cs="Arial"/>
      <w:b/>
      <w:bCs/>
      <w:caps/>
      <w:lang w:eastAsia="ar-SA"/>
    </w:rPr>
  </w:style>
  <w:style w:type="paragraph" w:styleId="Citao">
    <w:name w:val="Quote"/>
    <w:basedOn w:val="Normal"/>
    <w:next w:val="Normal"/>
    <w:link w:val="CitaoChar"/>
    <w:uiPriority w:val="29"/>
    <w:qFormat/>
    <w:rsid w:val="001C14F0"/>
    <w:pPr>
      <w:spacing w:line="240" w:lineRule="auto"/>
      <w:ind w:left="2268"/>
      <w:jc w:val="both"/>
    </w:pPr>
    <w:rPr>
      <w:rFonts w:ascii="Arial" w:hAnsi="Arial" w:cs="Arial"/>
      <w:i/>
    </w:rPr>
  </w:style>
  <w:style w:type="character" w:customStyle="1" w:styleId="CitaoChar">
    <w:name w:val="Citação Char"/>
    <w:basedOn w:val="Fontepargpadro"/>
    <w:link w:val="Citao"/>
    <w:uiPriority w:val="29"/>
    <w:rsid w:val="001C14F0"/>
    <w:rPr>
      <w:rFonts w:ascii="Arial" w:hAnsi="Arial" w:cs="Arial"/>
      <w:i/>
    </w:rPr>
  </w:style>
  <w:style w:type="character" w:customStyle="1" w:styleId="Ttulo4Char">
    <w:name w:val="Título 4 Char"/>
    <w:basedOn w:val="Fontepargpadro"/>
    <w:link w:val="Ttulo4"/>
    <w:rsid w:val="00C44A0B"/>
    <w:rPr>
      <w:rFonts w:ascii="Arial" w:eastAsia="Arial" w:hAnsi="Arial" w:cs="Arial"/>
      <w:bCs/>
      <w:lang w:eastAsia="ar-SA"/>
    </w:rPr>
  </w:style>
  <w:style w:type="paragraph" w:customStyle="1" w:styleId="Normal0">
    <w:name w:val="[Normal]"/>
    <w:rsid w:val="004C4956"/>
    <w:pPr>
      <w:widowControl w:val="0"/>
      <w:autoSpaceDE w:val="0"/>
      <w:autoSpaceDN w:val="0"/>
      <w:adjustRightInd w:val="0"/>
      <w:spacing w:after="0" w:line="240" w:lineRule="auto"/>
    </w:pPr>
    <w:rPr>
      <w:rFonts w:ascii="Arial" w:hAnsi="Arial" w:cs="Arial"/>
      <w:sz w:val="24"/>
      <w:szCs w:val="24"/>
    </w:rPr>
  </w:style>
  <w:style w:type="paragraph" w:customStyle="1" w:styleId="ANEXO-PARAGRAFO">
    <w:name w:val="ANEXO-PARAGRAFO"/>
    <w:basedOn w:val="Normal"/>
    <w:link w:val="ANEXO-PARAGRAFOChar"/>
    <w:rsid w:val="00F470F0"/>
    <w:pPr>
      <w:numPr>
        <w:numId w:val="2"/>
      </w:numPr>
      <w:spacing w:after="120" w:line="240" w:lineRule="auto"/>
      <w:jc w:val="both"/>
    </w:pPr>
    <w:rPr>
      <w:rFonts w:ascii="Calibri" w:eastAsia="Times New Roman" w:hAnsi="Calibri" w:cs="Times New Roman"/>
      <w:snapToGrid w:val="0"/>
      <w:color w:val="0070C0"/>
      <w:sz w:val="24"/>
      <w:szCs w:val="24"/>
    </w:rPr>
  </w:style>
  <w:style w:type="character" w:customStyle="1" w:styleId="ANEXO-PARAGRAFOChar">
    <w:name w:val="ANEXO-PARAGRAFO Char"/>
    <w:basedOn w:val="Fontepargpadro"/>
    <w:link w:val="ANEXO-PARAGRAFO"/>
    <w:rsid w:val="00F470F0"/>
    <w:rPr>
      <w:rFonts w:ascii="Calibri" w:eastAsia="Times New Roman" w:hAnsi="Calibri" w:cs="Times New Roman"/>
      <w:snapToGrid w:val="0"/>
      <w:color w:val="0070C0"/>
      <w:sz w:val="24"/>
      <w:szCs w:val="24"/>
    </w:rPr>
  </w:style>
  <w:style w:type="character" w:customStyle="1" w:styleId="Ttulo5Char">
    <w:name w:val="Título 5 Char"/>
    <w:basedOn w:val="Fontepargpadro"/>
    <w:link w:val="Ttulo5"/>
    <w:rsid w:val="00425FC5"/>
    <w:rPr>
      <w:rFonts w:ascii="Arial" w:eastAsia="Arial" w:hAnsi="Arial" w:cs="Arial"/>
      <w:bCs/>
      <w:lang w:eastAsia="ar-SA"/>
    </w:rPr>
  </w:style>
  <w:style w:type="paragraph" w:styleId="Corpodetexto3">
    <w:name w:val="Body Text 3"/>
    <w:basedOn w:val="Normal"/>
    <w:link w:val="Corpodetexto3Char"/>
    <w:semiHidden/>
    <w:rsid w:val="00022670"/>
    <w:pPr>
      <w:spacing w:after="0" w:line="240" w:lineRule="auto"/>
      <w:jc w:val="both"/>
      <w:outlineLvl w:val="0"/>
    </w:pPr>
    <w:rPr>
      <w:rFonts w:ascii="Times New Roman" w:eastAsia="Times New Roman" w:hAnsi="Times New Roman" w:cs="Times New Roman"/>
      <w:color w:val="424345"/>
      <w:szCs w:val="17"/>
    </w:rPr>
  </w:style>
  <w:style w:type="character" w:customStyle="1" w:styleId="Corpodetexto3Char">
    <w:name w:val="Corpo de texto 3 Char"/>
    <w:basedOn w:val="Fontepargpadro"/>
    <w:link w:val="Corpodetexto3"/>
    <w:semiHidden/>
    <w:rsid w:val="00022670"/>
    <w:rPr>
      <w:rFonts w:ascii="Times New Roman" w:eastAsia="Times New Roman" w:hAnsi="Times New Roman" w:cs="Times New Roman"/>
      <w:color w:val="424345"/>
      <w:szCs w:val="17"/>
    </w:rPr>
  </w:style>
  <w:style w:type="paragraph" w:customStyle="1" w:styleId="Default">
    <w:name w:val="Default"/>
    <w:rsid w:val="00022670"/>
    <w:pPr>
      <w:autoSpaceDE w:val="0"/>
      <w:autoSpaceDN w:val="0"/>
      <w:adjustRightInd w:val="0"/>
      <w:spacing w:after="0" w:line="240" w:lineRule="auto"/>
    </w:pPr>
    <w:rPr>
      <w:rFonts w:ascii="DKNKFM+ArialNarrow" w:eastAsia="Times New Roman" w:hAnsi="DKNKFM+ArialNarrow" w:cs="Times New Roman"/>
      <w:color w:val="000000"/>
      <w:sz w:val="24"/>
      <w:szCs w:val="24"/>
    </w:rPr>
  </w:style>
  <w:style w:type="paragraph" w:customStyle="1" w:styleId="Corpodetexto31">
    <w:name w:val="Corpo de texto 31"/>
    <w:basedOn w:val="Normal"/>
    <w:rsid w:val="00022670"/>
    <w:pPr>
      <w:suppressAutoHyphens/>
      <w:spacing w:after="0" w:line="240" w:lineRule="auto"/>
      <w:jc w:val="both"/>
    </w:pPr>
    <w:rPr>
      <w:rFonts w:ascii="Arial" w:eastAsia="Times New Roman" w:hAnsi="Arial" w:cs="Arial"/>
      <w:sz w:val="24"/>
      <w:szCs w:val="20"/>
      <w:lang w:eastAsia="ar-SA"/>
    </w:rPr>
  </w:style>
  <w:style w:type="character" w:customStyle="1" w:styleId="Ttulo7Char">
    <w:name w:val="Título 7 Char"/>
    <w:aliases w:val="AnexoII.3 Char"/>
    <w:basedOn w:val="Fontepargpadro"/>
    <w:link w:val="Ttulo7"/>
    <w:rsid w:val="00CF468B"/>
    <w:rPr>
      <w:rFonts w:ascii="Arial" w:eastAsia="Arial" w:hAnsi="Arial" w:cs="Arial"/>
      <w:bCs/>
      <w:lang w:eastAsia="ar-SA"/>
    </w:rPr>
  </w:style>
  <w:style w:type="paragraph" w:customStyle="1" w:styleId="AnexoII">
    <w:name w:val="AnexoII"/>
    <w:basedOn w:val="Ttulo2"/>
    <w:link w:val="AnexoIIChar"/>
    <w:qFormat/>
    <w:rsid w:val="00CF468B"/>
    <w:pPr>
      <w:numPr>
        <w:ilvl w:val="0"/>
        <w:numId w:val="6"/>
      </w:numPr>
      <w:tabs>
        <w:tab w:val="clear" w:pos="426"/>
        <w:tab w:val="clear" w:pos="993"/>
      </w:tabs>
      <w:ind w:left="851" w:hanging="567"/>
    </w:pPr>
  </w:style>
  <w:style w:type="numbering" w:customStyle="1" w:styleId="EstiloAnexo">
    <w:name w:val="Estilo_Anexo"/>
    <w:uiPriority w:val="99"/>
    <w:rsid w:val="008179EE"/>
    <w:pPr>
      <w:numPr>
        <w:numId w:val="3"/>
      </w:numPr>
    </w:pPr>
  </w:style>
  <w:style w:type="character" w:customStyle="1" w:styleId="AnexoIIChar">
    <w:name w:val="AnexoII Char"/>
    <w:basedOn w:val="Ttulo2Char"/>
    <w:link w:val="AnexoII"/>
    <w:rsid w:val="00CF468B"/>
    <w:rPr>
      <w:rFonts w:ascii="Arial" w:eastAsia="Arial" w:hAnsi="Arial" w:cs="Arial"/>
      <w:bCs/>
      <w:lang w:eastAsia="ar-SA"/>
    </w:rPr>
  </w:style>
  <w:style w:type="character" w:styleId="Hyperlink">
    <w:name w:val="Hyperlink"/>
    <w:basedOn w:val="Fontepargpadro"/>
    <w:uiPriority w:val="99"/>
    <w:semiHidden/>
    <w:unhideWhenUsed/>
    <w:rsid w:val="00331EF7"/>
    <w:rPr>
      <w:color w:val="0000FF"/>
      <w:u w:val="single"/>
    </w:rPr>
  </w:style>
  <w:style w:type="character" w:styleId="HiperlinkVisitado">
    <w:name w:val="FollowedHyperlink"/>
    <w:basedOn w:val="Fontepargpadro"/>
    <w:uiPriority w:val="99"/>
    <w:semiHidden/>
    <w:unhideWhenUsed/>
    <w:rsid w:val="00331EF7"/>
    <w:rPr>
      <w:color w:val="800080"/>
      <w:u w:val="single"/>
    </w:rPr>
  </w:style>
  <w:style w:type="paragraph" w:customStyle="1" w:styleId="msonormal0">
    <w:name w:val="msonormal"/>
    <w:basedOn w:val="Normal"/>
    <w:rsid w:val="00331E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31E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331EF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331EF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Normal"/>
    <w:rsid w:val="00331E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rsid w:val="00331EF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331EF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331EF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331EF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331E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331E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9">
    <w:name w:val="xl79"/>
    <w:basedOn w:val="Normal"/>
    <w:rsid w:val="00331EF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331E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331E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6">
    <w:name w:val="xl86"/>
    <w:basedOn w:val="Normal"/>
    <w:rsid w:val="00331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331EF7"/>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8">
    <w:name w:val="xl88"/>
    <w:basedOn w:val="Normal"/>
    <w:rsid w:val="00331EF7"/>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Normal"/>
    <w:rsid w:val="00331EF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0">
    <w:name w:val="xl90"/>
    <w:basedOn w:val="Normal"/>
    <w:rsid w:val="00331EF7"/>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91">
    <w:name w:val="xl91"/>
    <w:basedOn w:val="Normal"/>
    <w:rsid w:val="00331EF7"/>
    <w:pPr>
      <w:pBdr>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92">
    <w:name w:val="xl92"/>
    <w:basedOn w:val="Normal"/>
    <w:rsid w:val="00331EF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331EF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Normal"/>
    <w:rsid w:val="006D481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Normal"/>
    <w:rsid w:val="006D48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6D481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6D481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Normal"/>
    <w:rsid w:val="006D481D"/>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9">
    <w:name w:val="xl99"/>
    <w:basedOn w:val="Normal"/>
    <w:rsid w:val="006D481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font5">
    <w:name w:val="font5"/>
    <w:basedOn w:val="Normal"/>
    <w:rsid w:val="003778B7"/>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Normal"/>
    <w:rsid w:val="003778B7"/>
    <w:pPr>
      <w:spacing w:before="100" w:beforeAutospacing="1" w:after="100" w:afterAutospacing="1" w:line="240" w:lineRule="auto"/>
    </w:pPr>
    <w:rPr>
      <w:rFonts w:ascii="Calibri" w:eastAsia="Times New Roman" w:hAnsi="Calibri" w:cs="Times New Roman"/>
      <w:sz w:val="24"/>
      <w:szCs w:val="24"/>
    </w:rPr>
  </w:style>
  <w:style w:type="paragraph" w:customStyle="1" w:styleId="xl100">
    <w:name w:val="xl100"/>
    <w:basedOn w:val="Normal"/>
    <w:rsid w:val="003778B7"/>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1">
    <w:name w:val="xl101"/>
    <w:basedOn w:val="Normal"/>
    <w:rsid w:val="003778B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2">
    <w:name w:val="xl102"/>
    <w:basedOn w:val="Normal"/>
    <w:rsid w:val="003778B7"/>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03">
    <w:name w:val="xl103"/>
    <w:basedOn w:val="Normal"/>
    <w:rsid w:val="003778B7"/>
    <w:pPr>
      <w:pBdr>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04">
    <w:name w:val="xl104"/>
    <w:basedOn w:val="Normal"/>
    <w:rsid w:val="003778B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Normal"/>
    <w:rsid w:val="00C03ADF"/>
    <w:pPr>
      <w:pBdr>
        <w:top w:val="single" w:sz="4" w:space="0" w:color="auto"/>
        <w:left w:val="single" w:sz="4" w:space="0" w:color="auto"/>
      </w:pBdr>
      <w:shd w:val="clear" w:color="D9D9D9" w:fill="D9D9D9"/>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C03ADF"/>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7">
    <w:name w:val="xl107"/>
    <w:basedOn w:val="Normal"/>
    <w:rsid w:val="00C03ADF"/>
    <w:pPr>
      <w:pBdr>
        <w:top w:val="single" w:sz="4" w:space="0" w:color="auto"/>
        <w:left w:val="single" w:sz="4" w:space="0" w:color="auto"/>
      </w:pBdr>
      <w:shd w:val="clear" w:color="D9D9D9" w:fill="D9D9D9"/>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8">
    <w:name w:val="xl108"/>
    <w:basedOn w:val="Normal"/>
    <w:rsid w:val="00C03ADF"/>
    <w:pPr>
      <w:pBdr>
        <w:top w:val="single" w:sz="12" w:space="0" w:color="000000"/>
        <w:bottom w:val="single" w:sz="12" w:space="0" w:color="000000"/>
      </w:pBdr>
      <w:spacing w:before="100" w:beforeAutospacing="1" w:after="100" w:afterAutospacing="1" w:line="240" w:lineRule="auto"/>
      <w:jc w:val="right"/>
      <w:textAlignment w:val="center"/>
    </w:pPr>
    <w:rPr>
      <w:rFonts w:ascii="Calibri" w:eastAsia="Times New Roman" w:hAnsi="Calibri" w:cs="Times New Roman"/>
      <w:b/>
      <w:bCs/>
      <w:color w:val="000000"/>
      <w:sz w:val="28"/>
      <w:szCs w:val="28"/>
    </w:rPr>
  </w:style>
  <w:style w:type="paragraph" w:customStyle="1" w:styleId="xl109">
    <w:name w:val="xl109"/>
    <w:basedOn w:val="Normal"/>
    <w:rsid w:val="00C03ADF"/>
    <w:pPr>
      <w:pBdr>
        <w:top w:val="single" w:sz="12" w:space="0" w:color="000000"/>
        <w:bottom w:val="single" w:sz="12" w:space="0" w:color="000000"/>
      </w:pBdr>
      <w:spacing w:before="100" w:beforeAutospacing="1" w:after="100" w:afterAutospacing="1" w:line="240" w:lineRule="auto"/>
      <w:jc w:val="center"/>
      <w:textAlignment w:val="center"/>
    </w:pPr>
    <w:rPr>
      <w:rFonts w:ascii="Calibri" w:eastAsia="Times New Roman" w:hAnsi="Calibri" w:cs="Times New Roman"/>
      <w:b/>
      <w:bCs/>
      <w:color w:val="000000"/>
      <w:sz w:val="28"/>
      <w:szCs w:val="28"/>
    </w:rPr>
  </w:style>
  <w:style w:type="table" w:styleId="TabelaSimples1">
    <w:name w:val="Plain Table 1"/>
    <w:basedOn w:val="Tabelanormal"/>
    <w:uiPriority w:val="41"/>
    <w:rsid w:val="000038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1Clara">
    <w:name w:val="Grid Table 1 Light"/>
    <w:basedOn w:val="Tabelanormal"/>
    <w:uiPriority w:val="46"/>
    <w:rsid w:val="000038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ade2">
    <w:name w:val="Grid Table 2"/>
    <w:basedOn w:val="Tabelanormal"/>
    <w:uiPriority w:val="47"/>
    <w:rsid w:val="000038A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l110">
    <w:name w:val="xl110"/>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1">
    <w:name w:val="xl111"/>
    <w:basedOn w:val="Normal"/>
    <w:rsid w:val="00951F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2">
    <w:name w:val="xl112"/>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3">
    <w:name w:val="xl113"/>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114">
    <w:name w:val="xl114"/>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951F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6">
    <w:name w:val="xl116"/>
    <w:basedOn w:val="Normal"/>
    <w:rsid w:val="00951F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7">
    <w:name w:val="xl117"/>
    <w:basedOn w:val="Normal"/>
    <w:rsid w:val="00951F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8">
    <w:name w:val="xl118"/>
    <w:basedOn w:val="Normal"/>
    <w:rsid w:val="00951F1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119">
    <w:name w:val="xl119"/>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0">
    <w:name w:val="xl120"/>
    <w:basedOn w:val="Normal"/>
    <w:rsid w:val="00951F1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1">
    <w:name w:val="xl121"/>
    <w:basedOn w:val="Normal"/>
    <w:rsid w:val="00951F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2">
    <w:name w:val="xl122"/>
    <w:basedOn w:val="Normal"/>
    <w:rsid w:val="00951F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3">
    <w:name w:val="xl123"/>
    <w:basedOn w:val="Normal"/>
    <w:rsid w:val="00951F1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4">
    <w:name w:val="xl124"/>
    <w:basedOn w:val="Normal"/>
    <w:rsid w:val="00951F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Normal"/>
    <w:rsid w:val="00951F1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6">
    <w:name w:val="xl126"/>
    <w:basedOn w:val="Normal"/>
    <w:rsid w:val="00951F15"/>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127">
    <w:name w:val="xl127"/>
    <w:basedOn w:val="Normal"/>
    <w:rsid w:val="00951F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951F1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Normal"/>
    <w:rsid w:val="00951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081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Normal"/>
    <w:rsid w:val="00081A9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Normal"/>
    <w:rsid w:val="00081A9A"/>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Normal"/>
    <w:rsid w:val="00081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7">
    <w:name w:val="xl137"/>
    <w:basedOn w:val="Normal"/>
    <w:rsid w:val="00081A9A"/>
    <w:pPr>
      <w:spacing w:before="100" w:beforeAutospacing="1" w:after="100" w:afterAutospacing="1" w:line="240" w:lineRule="auto"/>
      <w:jc w:val="right"/>
    </w:pPr>
    <w:rPr>
      <w:rFonts w:ascii="Arial" w:eastAsia="Times New Roman" w:hAnsi="Arial" w:cs="Arial"/>
      <w:sz w:val="24"/>
      <w:szCs w:val="24"/>
    </w:rPr>
  </w:style>
  <w:style w:type="paragraph" w:customStyle="1" w:styleId="xl138">
    <w:name w:val="xl138"/>
    <w:basedOn w:val="Normal"/>
    <w:rsid w:val="00081A9A"/>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39">
    <w:name w:val="xl139"/>
    <w:basedOn w:val="Normal"/>
    <w:rsid w:val="00081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40">
    <w:name w:val="xl140"/>
    <w:basedOn w:val="Normal"/>
    <w:rsid w:val="00081A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1">
    <w:name w:val="xl141"/>
    <w:basedOn w:val="Normal"/>
    <w:rsid w:val="00081A9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2">
    <w:name w:val="xl142"/>
    <w:basedOn w:val="Normal"/>
    <w:rsid w:val="00081A9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3">
    <w:name w:val="xl143"/>
    <w:basedOn w:val="Normal"/>
    <w:rsid w:val="00081A9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4">
    <w:name w:val="xl144"/>
    <w:basedOn w:val="Normal"/>
    <w:rsid w:val="00081A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5">
    <w:name w:val="xl145"/>
    <w:basedOn w:val="Normal"/>
    <w:rsid w:val="00081A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6">
    <w:name w:val="xl146"/>
    <w:basedOn w:val="Normal"/>
    <w:rsid w:val="00C47C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7">
    <w:name w:val="xl147"/>
    <w:basedOn w:val="Normal"/>
    <w:rsid w:val="00C47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8">
    <w:name w:val="xl148"/>
    <w:basedOn w:val="Normal"/>
    <w:rsid w:val="00C47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character" w:customStyle="1" w:styleId="Ttulo9Char">
    <w:name w:val="Título 9 Char"/>
    <w:basedOn w:val="Fontepargpadro"/>
    <w:link w:val="Ttulo9"/>
    <w:rsid w:val="007C6E3D"/>
    <w:rPr>
      <w:rFonts w:ascii="Arial" w:eastAsia="Times New Roman" w:hAnsi="Arial" w:cs="Arial"/>
      <w:lang w:eastAsia="ar-SA"/>
    </w:rPr>
  </w:style>
  <w:style w:type="paragraph" w:customStyle="1" w:styleId="Ttulo10">
    <w:name w:val="Título1"/>
    <w:basedOn w:val="Normal"/>
    <w:next w:val="Corpodetexto"/>
    <w:rsid w:val="007C6E3D"/>
    <w:pPr>
      <w:tabs>
        <w:tab w:val="num" w:pos="0"/>
      </w:tabs>
      <w:spacing w:after="0"/>
      <w:jc w:val="center"/>
    </w:pPr>
    <w:rPr>
      <w:rFonts w:ascii="Arial" w:eastAsia="Lucida Sans Unicode" w:hAnsi="Arial" w:cs="Arial"/>
      <w:b/>
      <w:bCs/>
      <w:sz w:val="24"/>
      <w:lang w:eastAsia="en-US"/>
    </w:rPr>
  </w:style>
  <w:style w:type="paragraph" w:customStyle="1" w:styleId="Standard">
    <w:name w:val="Standard"/>
    <w:rsid w:val="007C6E3D"/>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TableContents">
    <w:name w:val="Table Contents"/>
    <w:basedOn w:val="Standard"/>
    <w:rsid w:val="007C6E3D"/>
    <w:pPr>
      <w:suppressLineNumbers/>
      <w:autoSpaceDN w:val="0"/>
    </w:pPr>
    <w:rPr>
      <w:rFonts w:cs="Mangal"/>
      <w:kern w:val="3"/>
    </w:rPr>
  </w:style>
  <w:style w:type="paragraph" w:styleId="NormalWeb">
    <w:name w:val="Normal (Web)"/>
    <w:basedOn w:val="Normal"/>
    <w:uiPriority w:val="99"/>
    <w:semiHidden/>
    <w:unhideWhenUsed/>
    <w:rsid w:val="0064037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40373"/>
    <w:rPr>
      <w:b/>
      <w:bCs/>
    </w:rPr>
  </w:style>
  <w:style w:type="table" w:styleId="TabeladeLista3-nfase1">
    <w:name w:val="List Table 3 Accent 1"/>
    <w:basedOn w:val="Tabelanormal"/>
    <w:uiPriority w:val="48"/>
    <w:rsid w:val="00EB1D3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1Clara-nfase1">
    <w:name w:val="List Table 1 Light Accent 1"/>
    <w:basedOn w:val="Tabelanormal"/>
    <w:uiPriority w:val="46"/>
    <w:rsid w:val="00EB1D3B"/>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Lista1Clara">
    <w:name w:val="List Table 1 Light"/>
    <w:basedOn w:val="Tabelanormal"/>
    <w:uiPriority w:val="46"/>
    <w:rsid w:val="00EB1D3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48833">
      <w:bodyDiv w:val="1"/>
      <w:marLeft w:val="0"/>
      <w:marRight w:val="0"/>
      <w:marTop w:val="0"/>
      <w:marBottom w:val="0"/>
      <w:divBdr>
        <w:top w:val="none" w:sz="0" w:space="0" w:color="auto"/>
        <w:left w:val="none" w:sz="0" w:space="0" w:color="auto"/>
        <w:bottom w:val="none" w:sz="0" w:space="0" w:color="auto"/>
        <w:right w:val="none" w:sz="0" w:space="0" w:color="auto"/>
      </w:divBdr>
    </w:div>
    <w:div w:id="96758741">
      <w:bodyDiv w:val="1"/>
      <w:marLeft w:val="0"/>
      <w:marRight w:val="0"/>
      <w:marTop w:val="0"/>
      <w:marBottom w:val="0"/>
      <w:divBdr>
        <w:top w:val="none" w:sz="0" w:space="0" w:color="auto"/>
        <w:left w:val="none" w:sz="0" w:space="0" w:color="auto"/>
        <w:bottom w:val="none" w:sz="0" w:space="0" w:color="auto"/>
        <w:right w:val="none" w:sz="0" w:space="0" w:color="auto"/>
      </w:divBdr>
    </w:div>
    <w:div w:id="103034936">
      <w:bodyDiv w:val="1"/>
      <w:marLeft w:val="0"/>
      <w:marRight w:val="0"/>
      <w:marTop w:val="0"/>
      <w:marBottom w:val="0"/>
      <w:divBdr>
        <w:top w:val="none" w:sz="0" w:space="0" w:color="auto"/>
        <w:left w:val="none" w:sz="0" w:space="0" w:color="auto"/>
        <w:bottom w:val="none" w:sz="0" w:space="0" w:color="auto"/>
        <w:right w:val="none" w:sz="0" w:space="0" w:color="auto"/>
      </w:divBdr>
    </w:div>
    <w:div w:id="112678581">
      <w:bodyDiv w:val="1"/>
      <w:marLeft w:val="0"/>
      <w:marRight w:val="0"/>
      <w:marTop w:val="0"/>
      <w:marBottom w:val="0"/>
      <w:divBdr>
        <w:top w:val="none" w:sz="0" w:space="0" w:color="auto"/>
        <w:left w:val="none" w:sz="0" w:space="0" w:color="auto"/>
        <w:bottom w:val="none" w:sz="0" w:space="0" w:color="auto"/>
        <w:right w:val="none" w:sz="0" w:space="0" w:color="auto"/>
      </w:divBdr>
    </w:div>
    <w:div w:id="123471513">
      <w:bodyDiv w:val="1"/>
      <w:marLeft w:val="0"/>
      <w:marRight w:val="0"/>
      <w:marTop w:val="0"/>
      <w:marBottom w:val="0"/>
      <w:divBdr>
        <w:top w:val="none" w:sz="0" w:space="0" w:color="auto"/>
        <w:left w:val="none" w:sz="0" w:space="0" w:color="auto"/>
        <w:bottom w:val="none" w:sz="0" w:space="0" w:color="auto"/>
        <w:right w:val="none" w:sz="0" w:space="0" w:color="auto"/>
      </w:divBdr>
    </w:div>
    <w:div w:id="134228826">
      <w:bodyDiv w:val="1"/>
      <w:marLeft w:val="0"/>
      <w:marRight w:val="0"/>
      <w:marTop w:val="0"/>
      <w:marBottom w:val="0"/>
      <w:divBdr>
        <w:top w:val="none" w:sz="0" w:space="0" w:color="auto"/>
        <w:left w:val="none" w:sz="0" w:space="0" w:color="auto"/>
        <w:bottom w:val="none" w:sz="0" w:space="0" w:color="auto"/>
        <w:right w:val="none" w:sz="0" w:space="0" w:color="auto"/>
      </w:divBdr>
    </w:div>
    <w:div w:id="138227606">
      <w:bodyDiv w:val="1"/>
      <w:marLeft w:val="0"/>
      <w:marRight w:val="0"/>
      <w:marTop w:val="0"/>
      <w:marBottom w:val="0"/>
      <w:divBdr>
        <w:top w:val="none" w:sz="0" w:space="0" w:color="auto"/>
        <w:left w:val="none" w:sz="0" w:space="0" w:color="auto"/>
        <w:bottom w:val="none" w:sz="0" w:space="0" w:color="auto"/>
        <w:right w:val="none" w:sz="0" w:space="0" w:color="auto"/>
      </w:divBdr>
    </w:div>
    <w:div w:id="165637236">
      <w:bodyDiv w:val="1"/>
      <w:marLeft w:val="0"/>
      <w:marRight w:val="0"/>
      <w:marTop w:val="0"/>
      <w:marBottom w:val="0"/>
      <w:divBdr>
        <w:top w:val="none" w:sz="0" w:space="0" w:color="auto"/>
        <w:left w:val="none" w:sz="0" w:space="0" w:color="auto"/>
        <w:bottom w:val="none" w:sz="0" w:space="0" w:color="auto"/>
        <w:right w:val="none" w:sz="0" w:space="0" w:color="auto"/>
      </w:divBdr>
    </w:div>
    <w:div w:id="187910571">
      <w:bodyDiv w:val="1"/>
      <w:marLeft w:val="0"/>
      <w:marRight w:val="0"/>
      <w:marTop w:val="0"/>
      <w:marBottom w:val="0"/>
      <w:divBdr>
        <w:top w:val="none" w:sz="0" w:space="0" w:color="auto"/>
        <w:left w:val="none" w:sz="0" w:space="0" w:color="auto"/>
        <w:bottom w:val="none" w:sz="0" w:space="0" w:color="auto"/>
        <w:right w:val="none" w:sz="0" w:space="0" w:color="auto"/>
      </w:divBdr>
    </w:div>
    <w:div w:id="206798024">
      <w:bodyDiv w:val="1"/>
      <w:marLeft w:val="0"/>
      <w:marRight w:val="0"/>
      <w:marTop w:val="0"/>
      <w:marBottom w:val="0"/>
      <w:divBdr>
        <w:top w:val="none" w:sz="0" w:space="0" w:color="auto"/>
        <w:left w:val="none" w:sz="0" w:space="0" w:color="auto"/>
        <w:bottom w:val="none" w:sz="0" w:space="0" w:color="auto"/>
        <w:right w:val="none" w:sz="0" w:space="0" w:color="auto"/>
      </w:divBdr>
    </w:div>
    <w:div w:id="218712280">
      <w:bodyDiv w:val="1"/>
      <w:marLeft w:val="0"/>
      <w:marRight w:val="0"/>
      <w:marTop w:val="0"/>
      <w:marBottom w:val="0"/>
      <w:divBdr>
        <w:top w:val="none" w:sz="0" w:space="0" w:color="auto"/>
        <w:left w:val="none" w:sz="0" w:space="0" w:color="auto"/>
        <w:bottom w:val="none" w:sz="0" w:space="0" w:color="auto"/>
        <w:right w:val="none" w:sz="0" w:space="0" w:color="auto"/>
      </w:divBdr>
    </w:div>
    <w:div w:id="378625725">
      <w:bodyDiv w:val="1"/>
      <w:marLeft w:val="0"/>
      <w:marRight w:val="0"/>
      <w:marTop w:val="0"/>
      <w:marBottom w:val="0"/>
      <w:divBdr>
        <w:top w:val="none" w:sz="0" w:space="0" w:color="auto"/>
        <w:left w:val="none" w:sz="0" w:space="0" w:color="auto"/>
        <w:bottom w:val="none" w:sz="0" w:space="0" w:color="auto"/>
        <w:right w:val="none" w:sz="0" w:space="0" w:color="auto"/>
      </w:divBdr>
    </w:div>
    <w:div w:id="398215067">
      <w:bodyDiv w:val="1"/>
      <w:marLeft w:val="0"/>
      <w:marRight w:val="0"/>
      <w:marTop w:val="0"/>
      <w:marBottom w:val="0"/>
      <w:divBdr>
        <w:top w:val="none" w:sz="0" w:space="0" w:color="auto"/>
        <w:left w:val="none" w:sz="0" w:space="0" w:color="auto"/>
        <w:bottom w:val="none" w:sz="0" w:space="0" w:color="auto"/>
        <w:right w:val="none" w:sz="0" w:space="0" w:color="auto"/>
      </w:divBdr>
    </w:div>
    <w:div w:id="440612447">
      <w:bodyDiv w:val="1"/>
      <w:marLeft w:val="0"/>
      <w:marRight w:val="0"/>
      <w:marTop w:val="0"/>
      <w:marBottom w:val="0"/>
      <w:divBdr>
        <w:top w:val="none" w:sz="0" w:space="0" w:color="auto"/>
        <w:left w:val="none" w:sz="0" w:space="0" w:color="auto"/>
        <w:bottom w:val="none" w:sz="0" w:space="0" w:color="auto"/>
        <w:right w:val="none" w:sz="0" w:space="0" w:color="auto"/>
      </w:divBdr>
    </w:div>
    <w:div w:id="505562084">
      <w:bodyDiv w:val="1"/>
      <w:marLeft w:val="0"/>
      <w:marRight w:val="0"/>
      <w:marTop w:val="0"/>
      <w:marBottom w:val="0"/>
      <w:divBdr>
        <w:top w:val="none" w:sz="0" w:space="0" w:color="auto"/>
        <w:left w:val="none" w:sz="0" w:space="0" w:color="auto"/>
        <w:bottom w:val="none" w:sz="0" w:space="0" w:color="auto"/>
        <w:right w:val="none" w:sz="0" w:space="0" w:color="auto"/>
      </w:divBdr>
    </w:div>
    <w:div w:id="505940526">
      <w:bodyDiv w:val="1"/>
      <w:marLeft w:val="0"/>
      <w:marRight w:val="0"/>
      <w:marTop w:val="0"/>
      <w:marBottom w:val="0"/>
      <w:divBdr>
        <w:top w:val="none" w:sz="0" w:space="0" w:color="auto"/>
        <w:left w:val="none" w:sz="0" w:space="0" w:color="auto"/>
        <w:bottom w:val="none" w:sz="0" w:space="0" w:color="auto"/>
        <w:right w:val="none" w:sz="0" w:space="0" w:color="auto"/>
      </w:divBdr>
    </w:div>
    <w:div w:id="531383453">
      <w:bodyDiv w:val="1"/>
      <w:marLeft w:val="0"/>
      <w:marRight w:val="0"/>
      <w:marTop w:val="0"/>
      <w:marBottom w:val="0"/>
      <w:divBdr>
        <w:top w:val="none" w:sz="0" w:space="0" w:color="auto"/>
        <w:left w:val="none" w:sz="0" w:space="0" w:color="auto"/>
        <w:bottom w:val="none" w:sz="0" w:space="0" w:color="auto"/>
        <w:right w:val="none" w:sz="0" w:space="0" w:color="auto"/>
      </w:divBdr>
    </w:div>
    <w:div w:id="560291512">
      <w:bodyDiv w:val="1"/>
      <w:marLeft w:val="0"/>
      <w:marRight w:val="0"/>
      <w:marTop w:val="0"/>
      <w:marBottom w:val="0"/>
      <w:divBdr>
        <w:top w:val="none" w:sz="0" w:space="0" w:color="auto"/>
        <w:left w:val="none" w:sz="0" w:space="0" w:color="auto"/>
        <w:bottom w:val="none" w:sz="0" w:space="0" w:color="auto"/>
        <w:right w:val="none" w:sz="0" w:space="0" w:color="auto"/>
      </w:divBdr>
    </w:div>
    <w:div w:id="589627616">
      <w:bodyDiv w:val="1"/>
      <w:marLeft w:val="0"/>
      <w:marRight w:val="0"/>
      <w:marTop w:val="0"/>
      <w:marBottom w:val="0"/>
      <w:divBdr>
        <w:top w:val="none" w:sz="0" w:space="0" w:color="auto"/>
        <w:left w:val="none" w:sz="0" w:space="0" w:color="auto"/>
        <w:bottom w:val="none" w:sz="0" w:space="0" w:color="auto"/>
        <w:right w:val="none" w:sz="0" w:space="0" w:color="auto"/>
      </w:divBdr>
    </w:div>
    <w:div w:id="626158459">
      <w:bodyDiv w:val="1"/>
      <w:marLeft w:val="0"/>
      <w:marRight w:val="0"/>
      <w:marTop w:val="0"/>
      <w:marBottom w:val="0"/>
      <w:divBdr>
        <w:top w:val="none" w:sz="0" w:space="0" w:color="auto"/>
        <w:left w:val="none" w:sz="0" w:space="0" w:color="auto"/>
        <w:bottom w:val="none" w:sz="0" w:space="0" w:color="auto"/>
        <w:right w:val="none" w:sz="0" w:space="0" w:color="auto"/>
      </w:divBdr>
    </w:div>
    <w:div w:id="679241342">
      <w:bodyDiv w:val="1"/>
      <w:marLeft w:val="0"/>
      <w:marRight w:val="0"/>
      <w:marTop w:val="0"/>
      <w:marBottom w:val="0"/>
      <w:divBdr>
        <w:top w:val="none" w:sz="0" w:space="0" w:color="auto"/>
        <w:left w:val="none" w:sz="0" w:space="0" w:color="auto"/>
        <w:bottom w:val="none" w:sz="0" w:space="0" w:color="auto"/>
        <w:right w:val="none" w:sz="0" w:space="0" w:color="auto"/>
      </w:divBdr>
    </w:div>
    <w:div w:id="711030513">
      <w:bodyDiv w:val="1"/>
      <w:marLeft w:val="0"/>
      <w:marRight w:val="0"/>
      <w:marTop w:val="0"/>
      <w:marBottom w:val="0"/>
      <w:divBdr>
        <w:top w:val="none" w:sz="0" w:space="0" w:color="auto"/>
        <w:left w:val="none" w:sz="0" w:space="0" w:color="auto"/>
        <w:bottom w:val="none" w:sz="0" w:space="0" w:color="auto"/>
        <w:right w:val="none" w:sz="0" w:space="0" w:color="auto"/>
      </w:divBdr>
    </w:div>
    <w:div w:id="765346610">
      <w:bodyDiv w:val="1"/>
      <w:marLeft w:val="0"/>
      <w:marRight w:val="0"/>
      <w:marTop w:val="0"/>
      <w:marBottom w:val="0"/>
      <w:divBdr>
        <w:top w:val="none" w:sz="0" w:space="0" w:color="auto"/>
        <w:left w:val="none" w:sz="0" w:space="0" w:color="auto"/>
        <w:bottom w:val="none" w:sz="0" w:space="0" w:color="auto"/>
        <w:right w:val="none" w:sz="0" w:space="0" w:color="auto"/>
      </w:divBdr>
    </w:div>
    <w:div w:id="788627234">
      <w:bodyDiv w:val="1"/>
      <w:marLeft w:val="0"/>
      <w:marRight w:val="0"/>
      <w:marTop w:val="0"/>
      <w:marBottom w:val="0"/>
      <w:divBdr>
        <w:top w:val="none" w:sz="0" w:space="0" w:color="auto"/>
        <w:left w:val="none" w:sz="0" w:space="0" w:color="auto"/>
        <w:bottom w:val="none" w:sz="0" w:space="0" w:color="auto"/>
        <w:right w:val="none" w:sz="0" w:space="0" w:color="auto"/>
      </w:divBdr>
    </w:div>
    <w:div w:id="802962744">
      <w:bodyDiv w:val="1"/>
      <w:marLeft w:val="0"/>
      <w:marRight w:val="0"/>
      <w:marTop w:val="0"/>
      <w:marBottom w:val="0"/>
      <w:divBdr>
        <w:top w:val="none" w:sz="0" w:space="0" w:color="auto"/>
        <w:left w:val="none" w:sz="0" w:space="0" w:color="auto"/>
        <w:bottom w:val="none" w:sz="0" w:space="0" w:color="auto"/>
        <w:right w:val="none" w:sz="0" w:space="0" w:color="auto"/>
      </w:divBdr>
    </w:div>
    <w:div w:id="803037112">
      <w:bodyDiv w:val="1"/>
      <w:marLeft w:val="0"/>
      <w:marRight w:val="0"/>
      <w:marTop w:val="0"/>
      <w:marBottom w:val="0"/>
      <w:divBdr>
        <w:top w:val="none" w:sz="0" w:space="0" w:color="auto"/>
        <w:left w:val="none" w:sz="0" w:space="0" w:color="auto"/>
        <w:bottom w:val="none" w:sz="0" w:space="0" w:color="auto"/>
        <w:right w:val="none" w:sz="0" w:space="0" w:color="auto"/>
      </w:divBdr>
    </w:div>
    <w:div w:id="812405969">
      <w:bodyDiv w:val="1"/>
      <w:marLeft w:val="0"/>
      <w:marRight w:val="0"/>
      <w:marTop w:val="0"/>
      <w:marBottom w:val="0"/>
      <w:divBdr>
        <w:top w:val="none" w:sz="0" w:space="0" w:color="auto"/>
        <w:left w:val="none" w:sz="0" w:space="0" w:color="auto"/>
        <w:bottom w:val="none" w:sz="0" w:space="0" w:color="auto"/>
        <w:right w:val="none" w:sz="0" w:space="0" w:color="auto"/>
      </w:divBdr>
    </w:div>
    <w:div w:id="825321488">
      <w:bodyDiv w:val="1"/>
      <w:marLeft w:val="0"/>
      <w:marRight w:val="0"/>
      <w:marTop w:val="0"/>
      <w:marBottom w:val="0"/>
      <w:divBdr>
        <w:top w:val="none" w:sz="0" w:space="0" w:color="auto"/>
        <w:left w:val="none" w:sz="0" w:space="0" w:color="auto"/>
        <w:bottom w:val="none" w:sz="0" w:space="0" w:color="auto"/>
        <w:right w:val="none" w:sz="0" w:space="0" w:color="auto"/>
      </w:divBdr>
    </w:div>
    <w:div w:id="826359840">
      <w:bodyDiv w:val="1"/>
      <w:marLeft w:val="0"/>
      <w:marRight w:val="0"/>
      <w:marTop w:val="0"/>
      <w:marBottom w:val="0"/>
      <w:divBdr>
        <w:top w:val="none" w:sz="0" w:space="0" w:color="auto"/>
        <w:left w:val="none" w:sz="0" w:space="0" w:color="auto"/>
        <w:bottom w:val="none" w:sz="0" w:space="0" w:color="auto"/>
        <w:right w:val="none" w:sz="0" w:space="0" w:color="auto"/>
      </w:divBdr>
    </w:div>
    <w:div w:id="875121774">
      <w:bodyDiv w:val="1"/>
      <w:marLeft w:val="0"/>
      <w:marRight w:val="0"/>
      <w:marTop w:val="0"/>
      <w:marBottom w:val="0"/>
      <w:divBdr>
        <w:top w:val="none" w:sz="0" w:space="0" w:color="auto"/>
        <w:left w:val="none" w:sz="0" w:space="0" w:color="auto"/>
        <w:bottom w:val="none" w:sz="0" w:space="0" w:color="auto"/>
        <w:right w:val="none" w:sz="0" w:space="0" w:color="auto"/>
      </w:divBdr>
    </w:div>
    <w:div w:id="884172726">
      <w:bodyDiv w:val="1"/>
      <w:marLeft w:val="0"/>
      <w:marRight w:val="0"/>
      <w:marTop w:val="0"/>
      <w:marBottom w:val="0"/>
      <w:divBdr>
        <w:top w:val="none" w:sz="0" w:space="0" w:color="auto"/>
        <w:left w:val="none" w:sz="0" w:space="0" w:color="auto"/>
        <w:bottom w:val="none" w:sz="0" w:space="0" w:color="auto"/>
        <w:right w:val="none" w:sz="0" w:space="0" w:color="auto"/>
      </w:divBdr>
    </w:div>
    <w:div w:id="889268740">
      <w:bodyDiv w:val="1"/>
      <w:marLeft w:val="0"/>
      <w:marRight w:val="0"/>
      <w:marTop w:val="0"/>
      <w:marBottom w:val="0"/>
      <w:divBdr>
        <w:top w:val="none" w:sz="0" w:space="0" w:color="auto"/>
        <w:left w:val="none" w:sz="0" w:space="0" w:color="auto"/>
        <w:bottom w:val="none" w:sz="0" w:space="0" w:color="auto"/>
        <w:right w:val="none" w:sz="0" w:space="0" w:color="auto"/>
      </w:divBdr>
    </w:div>
    <w:div w:id="960383522">
      <w:bodyDiv w:val="1"/>
      <w:marLeft w:val="0"/>
      <w:marRight w:val="0"/>
      <w:marTop w:val="0"/>
      <w:marBottom w:val="0"/>
      <w:divBdr>
        <w:top w:val="none" w:sz="0" w:space="0" w:color="auto"/>
        <w:left w:val="none" w:sz="0" w:space="0" w:color="auto"/>
        <w:bottom w:val="none" w:sz="0" w:space="0" w:color="auto"/>
        <w:right w:val="none" w:sz="0" w:space="0" w:color="auto"/>
      </w:divBdr>
    </w:div>
    <w:div w:id="986514953">
      <w:bodyDiv w:val="1"/>
      <w:marLeft w:val="0"/>
      <w:marRight w:val="0"/>
      <w:marTop w:val="0"/>
      <w:marBottom w:val="0"/>
      <w:divBdr>
        <w:top w:val="none" w:sz="0" w:space="0" w:color="auto"/>
        <w:left w:val="none" w:sz="0" w:space="0" w:color="auto"/>
        <w:bottom w:val="none" w:sz="0" w:space="0" w:color="auto"/>
        <w:right w:val="none" w:sz="0" w:space="0" w:color="auto"/>
      </w:divBdr>
    </w:div>
    <w:div w:id="1064598403">
      <w:bodyDiv w:val="1"/>
      <w:marLeft w:val="0"/>
      <w:marRight w:val="0"/>
      <w:marTop w:val="0"/>
      <w:marBottom w:val="0"/>
      <w:divBdr>
        <w:top w:val="none" w:sz="0" w:space="0" w:color="auto"/>
        <w:left w:val="none" w:sz="0" w:space="0" w:color="auto"/>
        <w:bottom w:val="none" w:sz="0" w:space="0" w:color="auto"/>
        <w:right w:val="none" w:sz="0" w:space="0" w:color="auto"/>
      </w:divBdr>
    </w:div>
    <w:div w:id="1101030352">
      <w:bodyDiv w:val="1"/>
      <w:marLeft w:val="0"/>
      <w:marRight w:val="0"/>
      <w:marTop w:val="0"/>
      <w:marBottom w:val="0"/>
      <w:divBdr>
        <w:top w:val="none" w:sz="0" w:space="0" w:color="auto"/>
        <w:left w:val="none" w:sz="0" w:space="0" w:color="auto"/>
        <w:bottom w:val="none" w:sz="0" w:space="0" w:color="auto"/>
        <w:right w:val="none" w:sz="0" w:space="0" w:color="auto"/>
      </w:divBdr>
    </w:div>
    <w:div w:id="1101609509">
      <w:bodyDiv w:val="1"/>
      <w:marLeft w:val="0"/>
      <w:marRight w:val="0"/>
      <w:marTop w:val="0"/>
      <w:marBottom w:val="0"/>
      <w:divBdr>
        <w:top w:val="none" w:sz="0" w:space="0" w:color="auto"/>
        <w:left w:val="none" w:sz="0" w:space="0" w:color="auto"/>
        <w:bottom w:val="none" w:sz="0" w:space="0" w:color="auto"/>
        <w:right w:val="none" w:sz="0" w:space="0" w:color="auto"/>
      </w:divBdr>
    </w:div>
    <w:div w:id="1159731978">
      <w:bodyDiv w:val="1"/>
      <w:marLeft w:val="0"/>
      <w:marRight w:val="0"/>
      <w:marTop w:val="0"/>
      <w:marBottom w:val="0"/>
      <w:divBdr>
        <w:top w:val="none" w:sz="0" w:space="0" w:color="auto"/>
        <w:left w:val="none" w:sz="0" w:space="0" w:color="auto"/>
        <w:bottom w:val="none" w:sz="0" w:space="0" w:color="auto"/>
        <w:right w:val="none" w:sz="0" w:space="0" w:color="auto"/>
      </w:divBdr>
    </w:div>
    <w:div w:id="1183861448">
      <w:bodyDiv w:val="1"/>
      <w:marLeft w:val="0"/>
      <w:marRight w:val="0"/>
      <w:marTop w:val="0"/>
      <w:marBottom w:val="0"/>
      <w:divBdr>
        <w:top w:val="none" w:sz="0" w:space="0" w:color="auto"/>
        <w:left w:val="none" w:sz="0" w:space="0" w:color="auto"/>
        <w:bottom w:val="none" w:sz="0" w:space="0" w:color="auto"/>
        <w:right w:val="none" w:sz="0" w:space="0" w:color="auto"/>
      </w:divBdr>
    </w:div>
    <w:div w:id="1282112698">
      <w:bodyDiv w:val="1"/>
      <w:marLeft w:val="0"/>
      <w:marRight w:val="0"/>
      <w:marTop w:val="0"/>
      <w:marBottom w:val="0"/>
      <w:divBdr>
        <w:top w:val="none" w:sz="0" w:space="0" w:color="auto"/>
        <w:left w:val="none" w:sz="0" w:space="0" w:color="auto"/>
        <w:bottom w:val="none" w:sz="0" w:space="0" w:color="auto"/>
        <w:right w:val="none" w:sz="0" w:space="0" w:color="auto"/>
      </w:divBdr>
    </w:div>
    <w:div w:id="1290435062">
      <w:bodyDiv w:val="1"/>
      <w:marLeft w:val="0"/>
      <w:marRight w:val="0"/>
      <w:marTop w:val="0"/>
      <w:marBottom w:val="0"/>
      <w:divBdr>
        <w:top w:val="none" w:sz="0" w:space="0" w:color="auto"/>
        <w:left w:val="none" w:sz="0" w:space="0" w:color="auto"/>
        <w:bottom w:val="none" w:sz="0" w:space="0" w:color="auto"/>
        <w:right w:val="none" w:sz="0" w:space="0" w:color="auto"/>
      </w:divBdr>
    </w:div>
    <w:div w:id="1299796367">
      <w:bodyDiv w:val="1"/>
      <w:marLeft w:val="0"/>
      <w:marRight w:val="0"/>
      <w:marTop w:val="0"/>
      <w:marBottom w:val="0"/>
      <w:divBdr>
        <w:top w:val="none" w:sz="0" w:space="0" w:color="auto"/>
        <w:left w:val="none" w:sz="0" w:space="0" w:color="auto"/>
        <w:bottom w:val="none" w:sz="0" w:space="0" w:color="auto"/>
        <w:right w:val="none" w:sz="0" w:space="0" w:color="auto"/>
      </w:divBdr>
    </w:div>
    <w:div w:id="1320883958">
      <w:bodyDiv w:val="1"/>
      <w:marLeft w:val="0"/>
      <w:marRight w:val="0"/>
      <w:marTop w:val="0"/>
      <w:marBottom w:val="0"/>
      <w:divBdr>
        <w:top w:val="none" w:sz="0" w:space="0" w:color="auto"/>
        <w:left w:val="none" w:sz="0" w:space="0" w:color="auto"/>
        <w:bottom w:val="none" w:sz="0" w:space="0" w:color="auto"/>
        <w:right w:val="none" w:sz="0" w:space="0" w:color="auto"/>
      </w:divBdr>
    </w:div>
    <w:div w:id="1340036879">
      <w:bodyDiv w:val="1"/>
      <w:marLeft w:val="0"/>
      <w:marRight w:val="0"/>
      <w:marTop w:val="0"/>
      <w:marBottom w:val="0"/>
      <w:divBdr>
        <w:top w:val="none" w:sz="0" w:space="0" w:color="auto"/>
        <w:left w:val="none" w:sz="0" w:space="0" w:color="auto"/>
        <w:bottom w:val="none" w:sz="0" w:space="0" w:color="auto"/>
        <w:right w:val="none" w:sz="0" w:space="0" w:color="auto"/>
      </w:divBdr>
    </w:div>
    <w:div w:id="1356811958">
      <w:bodyDiv w:val="1"/>
      <w:marLeft w:val="0"/>
      <w:marRight w:val="0"/>
      <w:marTop w:val="0"/>
      <w:marBottom w:val="0"/>
      <w:divBdr>
        <w:top w:val="none" w:sz="0" w:space="0" w:color="auto"/>
        <w:left w:val="none" w:sz="0" w:space="0" w:color="auto"/>
        <w:bottom w:val="none" w:sz="0" w:space="0" w:color="auto"/>
        <w:right w:val="none" w:sz="0" w:space="0" w:color="auto"/>
      </w:divBdr>
    </w:div>
    <w:div w:id="1405764342">
      <w:bodyDiv w:val="1"/>
      <w:marLeft w:val="0"/>
      <w:marRight w:val="0"/>
      <w:marTop w:val="0"/>
      <w:marBottom w:val="0"/>
      <w:divBdr>
        <w:top w:val="none" w:sz="0" w:space="0" w:color="auto"/>
        <w:left w:val="none" w:sz="0" w:space="0" w:color="auto"/>
        <w:bottom w:val="none" w:sz="0" w:space="0" w:color="auto"/>
        <w:right w:val="none" w:sz="0" w:space="0" w:color="auto"/>
      </w:divBdr>
    </w:div>
    <w:div w:id="1438137483">
      <w:bodyDiv w:val="1"/>
      <w:marLeft w:val="0"/>
      <w:marRight w:val="0"/>
      <w:marTop w:val="0"/>
      <w:marBottom w:val="0"/>
      <w:divBdr>
        <w:top w:val="none" w:sz="0" w:space="0" w:color="auto"/>
        <w:left w:val="none" w:sz="0" w:space="0" w:color="auto"/>
        <w:bottom w:val="none" w:sz="0" w:space="0" w:color="auto"/>
        <w:right w:val="none" w:sz="0" w:space="0" w:color="auto"/>
      </w:divBdr>
    </w:div>
    <w:div w:id="1441335808">
      <w:bodyDiv w:val="1"/>
      <w:marLeft w:val="0"/>
      <w:marRight w:val="0"/>
      <w:marTop w:val="0"/>
      <w:marBottom w:val="0"/>
      <w:divBdr>
        <w:top w:val="none" w:sz="0" w:space="0" w:color="auto"/>
        <w:left w:val="none" w:sz="0" w:space="0" w:color="auto"/>
        <w:bottom w:val="none" w:sz="0" w:space="0" w:color="auto"/>
        <w:right w:val="none" w:sz="0" w:space="0" w:color="auto"/>
      </w:divBdr>
    </w:div>
    <w:div w:id="1447040467">
      <w:bodyDiv w:val="1"/>
      <w:marLeft w:val="0"/>
      <w:marRight w:val="0"/>
      <w:marTop w:val="0"/>
      <w:marBottom w:val="0"/>
      <w:divBdr>
        <w:top w:val="none" w:sz="0" w:space="0" w:color="auto"/>
        <w:left w:val="none" w:sz="0" w:space="0" w:color="auto"/>
        <w:bottom w:val="none" w:sz="0" w:space="0" w:color="auto"/>
        <w:right w:val="none" w:sz="0" w:space="0" w:color="auto"/>
      </w:divBdr>
    </w:div>
    <w:div w:id="1527139097">
      <w:bodyDiv w:val="1"/>
      <w:marLeft w:val="0"/>
      <w:marRight w:val="0"/>
      <w:marTop w:val="0"/>
      <w:marBottom w:val="0"/>
      <w:divBdr>
        <w:top w:val="none" w:sz="0" w:space="0" w:color="auto"/>
        <w:left w:val="none" w:sz="0" w:space="0" w:color="auto"/>
        <w:bottom w:val="none" w:sz="0" w:space="0" w:color="auto"/>
        <w:right w:val="none" w:sz="0" w:space="0" w:color="auto"/>
      </w:divBdr>
    </w:div>
    <w:div w:id="1553885187">
      <w:bodyDiv w:val="1"/>
      <w:marLeft w:val="0"/>
      <w:marRight w:val="0"/>
      <w:marTop w:val="0"/>
      <w:marBottom w:val="0"/>
      <w:divBdr>
        <w:top w:val="none" w:sz="0" w:space="0" w:color="auto"/>
        <w:left w:val="none" w:sz="0" w:space="0" w:color="auto"/>
        <w:bottom w:val="none" w:sz="0" w:space="0" w:color="auto"/>
        <w:right w:val="none" w:sz="0" w:space="0" w:color="auto"/>
      </w:divBdr>
    </w:div>
    <w:div w:id="1557550823">
      <w:bodyDiv w:val="1"/>
      <w:marLeft w:val="0"/>
      <w:marRight w:val="0"/>
      <w:marTop w:val="0"/>
      <w:marBottom w:val="0"/>
      <w:divBdr>
        <w:top w:val="none" w:sz="0" w:space="0" w:color="auto"/>
        <w:left w:val="none" w:sz="0" w:space="0" w:color="auto"/>
        <w:bottom w:val="none" w:sz="0" w:space="0" w:color="auto"/>
        <w:right w:val="none" w:sz="0" w:space="0" w:color="auto"/>
      </w:divBdr>
    </w:div>
    <w:div w:id="1622347965">
      <w:bodyDiv w:val="1"/>
      <w:marLeft w:val="0"/>
      <w:marRight w:val="0"/>
      <w:marTop w:val="0"/>
      <w:marBottom w:val="0"/>
      <w:divBdr>
        <w:top w:val="none" w:sz="0" w:space="0" w:color="auto"/>
        <w:left w:val="none" w:sz="0" w:space="0" w:color="auto"/>
        <w:bottom w:val="none" w:sz="0" w:space="0" w:color="auto"/>
        <w:right w:val="none" w:sz="0" w:space="0" w:color="auto"/>
      </w:divBdr>
    </w:div>
    <w:div w:id="1635988183">
      <w:bodyDiv w:val="1"/>
      <w:marLeft w:val="0"/>
      <w:marRight w:val="0"/>
      <w:marTop w:val="0"/>
      <w:marBottom w:val="0"/>
      <w:divBdr>
        <w:top w:val="none" w:sz="0" w:space="0" w:color="auto"/>
        <w:left w:val="none" w:sz="0" w:space="0" w:color="auto"/>
        <w:bottom w:val="none" w:sz="0" w:space="0" w:color="auto"/>
        <w:right w:val="none" w:sz="0" w:space="0" w:color="auto"/>
      </w:divBdr>
    </w:div>
    <w:div w:id="1640648258">
      <w:bodyDiv w:val="1"/>
      <w:marLeft w:val="0"/>
      <w:marRight w:val="0"/>
      <w:marTop w:val="0"/>
      <w:marBottom w:val="0"/>
      <w:divBdr>
        <w:top w:val="none" w:sz="0" w:space="0" w:color="auto"/>
        <w:left w:val="none" w:sz="0" w:space="0" w:color="auto"/>
        <w:bottom w:val="none" w:sz="0" w:space="0" w:color="auto"/>
        <w:right w:val="none" w:sz="0" w:space="0" w:color="auto"/>
      </w:divBdr>
    </w:div>
    <w:div w:id="1682660684">
      <w:bodyDiv w:val="1"/>
      <w:marLeft w:val="0"/>
      <w:marRight w:val="0"/>
      <w:marTop w:val="0"/>
      <w:marBottom w:val="0"/>
      <w:divBdr>
        <w:top w:val="none" w:sz="0" w:space="0" w:color="auto"/>
        <w:left w:val="none" w:sz="0" w:space="0" w:color="auto"/>
        <w:bottom w:val="none" w:sz="0" w:space="0" w:color="auto"/>
        <w:right w:val="none" w:sz="0" w:space="0" w:color="auto"/>
      </w:divBdr>
    </w:div>
    <w:div w:id="1734162354">
      <w:bodyDiv w:val="1"/>
      <w:marLeft w:val="0"/>
      <w:marRight w:val="0"/>
      <w:marTop w:val="0"/>
      <w:marBottom w:val="0"/>
      <w:divBdr>
        <w:top w:val="none" w:sz="0" w:space="0" w:color="auto"/>
        <w:left w:val="none" w:sz="0" w:space="0" w:color="auto"/>
        <w:bottom w:val="none" w:sz="0" w:space="0" w:color="auto"/>
        <w:right w:val="none" w:sz="0" w:space="0" w:color="auto"/>
      </w:divBdr>
    </w:div>
    <w:div w:id="1743020298">
      <w:bodyDiv w:val="1"/>
      <w:marLeft w:val="0"/>
      <w:marRight w:val="0"/>
      <w:marTop w:val="0"/>
      <w:marBottom w:val="0"/>
      <w:divBdr>
        <w:top w:val="none" w:sz="0" w:space="0" w:color="auto"/>
        <w:left w:val="none" w:sz="0" w:space="0" w:color="auto"/>
        <w:bottom w:val="none" w:sz="0" w:space="0" w:color="auto"/>
        <w:right w:val="none" w:sz="0" w:space="0" w:color="auto"/>
      </w:divBdr>
    </w:div>
    <w:div w:id="1744058960">
      <w:bodyDiv w:val="1"/>
      <w:marLeft w:val="0"/>
      <w:marRight w:val="0"/>
      <w:marTop w:val="0"/>
      <w:marBottom w:val="0"/>
      <w:divBdr>
        <w:top w:val="none" w:sz="0" w:space="0" w:color="auto"/>
        <w:left w:val="none" w:sz="0" w:space="0" w:color="auto"/>
        <w:bottom w:val="none" w:sz="0" w:space="0" w:color="auto"/>
        <w:right w:val="none" w:sz="0" w:space="0" w:color="auto"/>
      </w:divBdr>
    </w:div>
    <w:div w:id="1774664383">
      <w:bodyDiv w:val="1"/>
      <w:marLeft w:val="0"/>
      <w:marRight w:val="0"/>
      <w:marTop w:val="0"/>
      <w:marBottom w:val="0"/>
      <w:divBdr>
        <w:top w:val="none" w:sz="0" w:space="0" w:color="auto"/>
        <w:left w:val="none" w:sz="0" w:space="0" w:color="auto"/>
        <w:bottom w:val="none" w:sz="0" w:space="0" w:color="auto"/>
        <w:right w:val="none" w:sz="0" w:space="0" w:color="auto"/>
      </w:divBdr>
    </w:div>
    <w:div w:id="1801264242">
      <w:bodyDiv w:val="1"/>
      <w:marLeft w:val="0"/>
      <w:marRight w:val="0"/>
      <w:marTop w:val="0"/>
      <w:marBottom w:val="0"/>
      <w:divBdr>
        <w:top w:val="none" w:sz="0" w:space="0" w:color="auto"/>
        <w:left w:val="none" w:sz="0" w:space="0" w:color="auto"/>
        <w:bottom w:val="none" w:sz="0" w:space="0" w:color="auto"/>
        <w:right w:val="none" w:sz="0" w:space="0" w:color="auto"/>
      </w:divBdr>
    </w:div>
    <w:div w:id="1882785213">
      <w:bodyDiv w:val="1"/>
      <w:marLeft w:val="0"/>
      <w:marRight w:val="0"/>
      <w:marTop w:val="0"/>
      <w:marBottom w:val="0"/>
      <w:divBdr>
        <w:top w:val="none" w:sz="0" w:space="0" w:color="auto"/>
        <w:left w:val="none" w:sz="0" w:space="0" w:color="auto"/>
        <w:bottom w:val="none" w:sz="0" w:space="0" w:color="auto"/>
        <w:right w:val="none" w:sz="0" w:space="0" w:color="auto"/>
      </w:divBdr>
    </w:div>
    <w:div w:id="1889998141">
      <w:bodyDiv w:val="1"/>
      <w:marLeft w:val="0"/>
      <w:marRight w:val="0"/>
      <w:marTop w:val="0"/>
      <w:marBottom w:val="0"/>
      <w:divBdr>
        <w:top w:val="none" w:sz="0" w:space="0" w:color="auto"/>
        <w:left w:val="none" w:sz="0" w:space="0" w:color="auto"/>
        <w:bottom w:val="none" w:sz="0" w:space="0" w:color="auto"/>
        <w:right w:val="none" w:sz="0" w:space="0" w:color="auto"/>
      </w:divBdr>
    </w:div>
    <w:div w:id="1915503494">
      <w:bodyDiv w:val="1"/>
      <w:marLeft w:val="0"/>
      <w:marRight w:val="0"/>
      <w:marTop w:val="0"/>
      <w:marBottom w:val="0"/>
      <w:divBdr>
        <w:top w:val="none" w:sz="0" w:space="0" w:color="auto"/>
        <w:left w:val="none" w:sz="0" w:space="0" w:color="auto"/>
        <w:bottom w:val="none" w:sz="0" w:space="0" w:color="auto"/>
        <w:right w:val="none" w:sz="0" w:space="0" w:color="auto"/>
      </w:divBdr>
    </w:div>
    <w:div w:id="1950233387">
      <w:bodyDiv w:val="1"/>
      <w:marLeft w:val="0"/>
      <w:marRight w:val="0"/>
      <w:marTop w:val="0"/>
      <w:marBottom w:val="0"/>
      <w:divBdr>
        <w:top w:val="none" w:sz="0" w:space="0" w:color="auto"/>
        <w:left w:val="none" w:sz="0" w:space="0" w:color="auto"/>
        <w:bottom w:val="none" w:sz="0" w:space="0" w:color="auto"/>
        <w:right w:val="none" w:sz="0" w:space="0" w:color="auto"/>
      </w:divBdr>
    </w:div>
    <w:div w:id="1955553825">
      <w:bodyDiv w:val="1"/>
      <w:marLeft w:val="0"/>
      <w:marRight w:val="0"/>
      <w:marTop w:val="0"/>
      <w:marBottom w:val="0"/>
      <w:divBdr>
        <w:top w:val="none" w:sz="0" w:space="0" w:color="auto"/>
        <w:left w:val="none" w:sz="0" w:space="0" w:color="auto"/>
        <w:bottom w:val="none" w:sz="0" w:space="0" w:color="auto"/>
        <w:right w:val="none" w:sz="0" w:space="0" w:color="auto"/>
      </w:divBdr>
    </w:div>
    <w:div w:id="2000304928">
      <w:bodyDiv w:val="1"/>
      <w:marLeft w:val="0"/>
      <w:marRight w:val="0"/>
      <w:marTop w:val="0"/>
      <w:marBottom w:val="0"/>
      <w:divBdr>
        <w:top w:val="none" w:sz="0" w:space="0" w:color="auto"/>
        <w:left w:val="none" w:sz="0" w:space="0" w:color="auto"/>
        <w:bottom w:val="none" w:sz="0" w:space="0" w:color="auto"/>
        <w:right w:val="none" w:sz="0" w:space="0" w:color="auto"/>
      </w:divBdr>
    </w:div>
    <w:div w:id="2030251382">
      <w:bodyDiv w:val="1"/>
      <w:marLeft w:val="0"/>
      <w:marRight w:val="0"/>
      <w:marTop w:val="0"/>
      <w:marBottom w:val="0"/>
      <w:divBdr>
        <w:top w:val="none" w:sz="0" w:space="0" w:color="auto"/>
        <w:left w:val="none" w:sz="0" w:space="0" w:color="auto"/>
        <w:bottom w:val="none" w:sz="0" w:space="0" w:color="auto"/>
        <w:right w:val="none" w:sz="0" w:space="0" w:color="auto"/>
      </w:divBdr>
    </w:div>
    <w:div w:id="2034333197">
      <w:bodyDiv w:val="1"/>
      <w:marLeft w:val="0"/>
      <w:marRight w:val="0"/>
      <w:marTop w:val="0"/>
      <w:marBottom w:val="0"/>
      <w:divBdr>
        <w:top w:val="none" w:sz="0" w:space="0" w:color="auto"/>
        <w:left w:val="none" w:sz="0" w:space="0" w:color="auto"/>
        <w:bottom w:val="none" w:sz="0" w:space="0" w:color="auto"/>
        <w:right w:val="none" w:sz="0" w:space="0" w:color="auto"/>
      </w:divBdr>
    </w:div>
    <w:div w:id="2048792402">
      <w:bodyDiv w:val="1"/>
      <w:marLeft w:val="0"/>
      <w:marRight w:val="0"/>
      <w:marTop w:val="0"/>
      <w:marBottom w:val="0"/>
      <w:divBdr>
        <w:top w:val="none" w:sz="0" w:space="0" w:color="auto"/>
        <w:left w:val="none" w:sz="0" w:space="0" w:color="auto"/>
        <w:bottom w:val="none" w:sz="0" w:space="0" w:color="auto"/>
        <w:right w:val="none" w:sz="0" w:space="0" w:color="auto"/>
      </w:divBdr>
    </w:div>
    <w:div w:id="2054772949">
      <w:bodyDiv w:val="1"/>
      <w:marLeft w:val="0"/>
      <w:marRight w:val="0"/>
      <w:marTop w:val="0"/>
      <w:marBottom w:val="0"/>
      <w:divBdr>
        <w:top w:val="none" w:sz="0" w:space="0" w:color="auto"/>
        <w:left w:val="none" w:sz="0" w:space="0" w:color="auto"/>
        <w:bottom w:val="none" w:sz="0" w:space="0" w:color="auto"/>
        <w:right w:val="none" w:sz="0" w:space="0" w:color="auto"/>
      </w:divBdr>
    </w:div>
    <w:div w:id="2067727865">
      <w:bodyDiv w:val="1"/>
      <w:marLeft w:val="0"/>
      <w:marRight w:val="0"/>
      <w:marTop w:val="0"/>
      <w:marBottom w:val="0"/>
      <w:divBdr>
        <w:top w:val="none" w:sz="0" w:space="0" w:color="auto"/>
        <w:left w:val="none" w:sz="0" w:space="0" w:color="auto"/>
        <w:bottom w:val="none" w:sz="0" w:space="0" w:color="auto"/>
        <w:right w:val="none" w:sz="0" w:space="0" w:color="auto"/>
      </w:divBdr>
    </w:div>
    <w:div w:id="2070955942">
      <w:bodyDiv w:val="1"/>
      <w:marLeft w:val="0"/>
      <w:marRight w:val="0"/>
      <w:marTop w:val="0"/>
      <w:marBottom w:val="0"/>
      <w:divBdr>
        <w:top w:val="none" w:sz="0" w:space="0" w:color="auto"/>
        <w:left w:val="none" w:sz="0" w:space="0" w:color="auto"/>
        <w:bottom w:val="none" w:sz="0" w:space="0" w:color="auto"/>
        <w:right w:val="none" w:sz="0" w:space="0" w:color="auto"/>
      </w:divBdr>
    </w:div>
    <w:div w:id="2100369359">
      <w:bodyDiv w:val="1"/>
      <w:marLeft w:val="0"/>
      <w:marRight w:val="0"/>
      <w:marTop w:val="0"/>
      <w:marBottom w:val="0"/>
      <w:divBdr>
        <w:top w:val="none" w:sz="0" w:space="0" w:color="auto"/>
        <w:left w:val="none" w:sz="0" w:space="0" w:color="auto"/>
        <w:bottom w:val="none" w:sz="0" w:space="0" w:color="auto"/>
        <w:right w:val="none" w:sz="0" w:space="0" w:color="auto"/>
      </w:divBdr>
    </w:div>
    <w:div w:id="2103527623">
      <w:bodyDiv w:val="1"/>
      <w:marLeft w:val="0"/>
      <w:marRight w:val="0"/>
      <w:marTop w:val="0"/>
      <w:marBottom w:val="0"/>
      <w:divBdr>
        <w:top w:val="none" w:sz="0" w:space="0" w:color="auto"/>
        <w:left w:val="none" w:sz="0" w:space="0" w:color="auto"/>
        <w:bottom w:val="none" w:sz="0" w:space="0" w:color="auto"/>
        <w:right w:val="none" w:sz="0" w:space="0" w:color="auto"/>
      </w:divBdr>
    </w:div>
    <w:div w:id="2121339396">
      <w:bodyDiv w:val="1"/>
      <w:marLeft w:val="0"/>
      <w:marRight w:val="0"/>
      <w:marTop w:val="0"/>
      <w:marBottom w:val="0"/>
      <w:divBdr>
        <w:top w:val="none" w:sz="0" w:space="0" w:color="auto"/>
        <w:left w:val="none" w:sz="0" w:space="0" w:color="auto"/>
        <w:bottom w:val="none" w:sz="0" w:space="0" w:color="auto"/>
        <w:right w:val="none" w:sz="0" w:space="0" w:color="auto"/>
      </w:divBdr>
    </w:div>
    <w:div w:id="214558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91B2D-FACA-4ED3-AB7A-B3EF8BB7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11</Pages>
  <Words>3152</Words>
  <Characters>17026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Antonio Gomes de Oliveira</dc:creator>
  <cp:lastModifiedBy>Pedro Henrique Mota Emiliano</cp:lastModifiedBy>
  <cp:revision>16</cp:revision>
  <cp:lastPrinted>2018-03-06T21:27:00Z</cp:lastPrinted>
  <dcterms:created xsi:type="dcterms:W3CDTF">2024-05-02T11:45:00Z</dcterms:created>
  <dcterms:modified xsi:type="dcterms:W3CDTF">2024-10-02T14:50:00Z</dcterms:modified>
</cp:coreProperties>
</file>